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20 meter från samrådsanmälan finns fynd av 28 naturvårdsarter, varav 9 är rödlistade, 11 är fridlysta, 13 är typiska (T) och 3 är signalarter (S): stare (VU, §4), björktrast (NT, §4), engelskt björnbär (NT), gulsparv (NT, §4), mindre hackspett (NT, T, §4), mörk dunört (NT), rödlånke (NT), sydlig sotticka (NT), älg (NT), kransrams (S, T), myskmadra (S, T), skogsbräsma (S), ekorrbär (T), gulplister (T), hultbräken (T), lundslok (T), skogsstjärna (T), skärmstarr (T), spillkråka (T, §4), svarta vinbär (T), vildkaprifol (T), ängskovall (T),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kransrams (S, T), myskmadra (S, T), ekorrbär (T), gulplister (T), hultbräken (T), lundslok (T), skogsstjärna (T), skärmstarr (T), spillkråka (T, §4), svarta vinbär (T), vildkaprifol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