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6042-2022 i Höörs kommun</w:t>
      </w:r>
    </w:p>
    <w:p>
      <w:r>
        <w:t>Denna tillsynsbegäran behandlar höga naturvärden i samrådsanmälan S 6042-2022 i Höörs kommun som inkom 2022-10-26 och omfattar 57,5 ha.</w:t>
      </w:r>
    </w:p>
    <w:p>
      <w:pPr>
        <w:pStyle w:val="Caption"/>
      </w:pPr>
      <w:r>
        <w:drawing>
          <wp:inline xmlns:a="http://schemas.openxmlformats.org/drawingml/2006/main" xmlns:pic="http://schemas.openxmlformats.org/drawingml/2006/picture">
            <wp:extent cx="5486400" cy="5033236"/>
            <wp:docPr id="1" name="Picture 1"/>
            <wp:cNvGraphicFramePr>
              <a:graphicFrameLocks noChangeAspect="1"/>
            </wp:cNvGraphicFramePr>
            <a:graphic>
              <a:graphicData uri="http://schemas.openxmlformats.org/drawingml/2006/picture">
                <pic:pic>
                  <pic:nvPicPr>
                    <pic:cNvPr id="0" name="S 6042-2022 karta.png"/>
                    <pic:cNvPicPr/>
                  </pic:nvPicPr>
                  <pic:blipFill>
                    <a:blip r:embed="rId16"/>
                    <a:stretch>
                      <a:fillRect/>
                    </a:stretch>
                  </pic:blipFill>
                  <pic:spPr>
                    <a:xfrm>
                      <a:off x="0" y="0"/>
                      <a:ext cx="5486400" cy="5033236"/>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6210921, E 406652 i SWEREF 99 TM.</w:t>
      </w:r>
    </w:p>
    <w:p>
      <w:r>
        <w:t>I och inom 12 meter från samrådsanmälan finns fynd av 2 naturvårdsarter, varav 1 är rödlistad och 1 är fridlyst: slåttergubbe (VU) och getlav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Getlav (§8) </w:t>
      </w:r>
      <w:r>
        <w:t>växer på sten och på bark av al, rönn, ek, ask och alm, nästan alltid nära sjöar eller hav. Den anses ljusälskande men förekommer såväl på klippor vid vägar som på trädstammar i hagar eller i sluten lövskog. I Östergötland växer den på klippor nära sjöar, huvudsakligen omgiven av barrträd. Förändringar i miljön på eller i omedelbar närhet av lokaler utgör ett hot och lokaler utan skydd bör skyddas. Arten är fridlyst enligt 8 § artskyddsförordningen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