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8853-2021 i Höörs kommun</w:t>
      </w:r>
    </w:p>
    <w:p>
      <w:r>
        <w:t>Detta klagomål behandlar höga naturvärden i samrådsanmälan S 8853-2021 i Höörs kommun som inkom 2021-11-03 och omfattar 113,6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S 8853-2021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6205588, E 410421 i SWEREF 99 TM.</w:t>
      </w:r>
    </w:p>
    <w:p>
      <w:r>
        <w:t>I och inom 6 meter från samrådsanmälan finns fynd av 6 naturvårdsarter, varav 4 är rödlistade, 2 är fridlysta, 1 är typisk (T) och 1 är signalart (S): savlundlav (EN), igelkott (VU), koralltaggsvamp (NT, T), talltita (NT, §4), skogsbräsma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Savlundlav (EN)</w:t>
      </w:r>
      <w:r>
        <w:t xml:space="preserve"> är en starkt hotad art som oftast växer vid savflöden på ädellövträd, oftast på gamla bokar och almar men ibland även på lönn och rönn. Arten hotas framför allt av att lokaler med lång kontinuitet försvinner genom aktivt skogsbruk och att gamla ädellövträd i öppna miljöer, speciellt almar i alléer, ofta byts ut. Skydda de rikligaste lokalerna och undvik produktionsinriktat skogsbruk på och omkring lokaler med arten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