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23466-2022 i Tomelilla kommun</w:t>
      </w:r>
    </w:p>
    <w:p>
      <w:r>
        <w:t>Detta dokument behandlar höga naturvärden i avverkningsanmälan A 23466-2022 i Tomelilla kommun. Denna avverkningsanmälan inkom 2022-06-09 00:00:00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skogslysing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23466-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6178190, E 436280 i SWEREF 99 TM.</w:t>
      </w:r>
    </w:p>
    <w:p>
      <w:r>
        <w:rPr>
          <w:b/>
        </w:rPr>
        <w:t>Skogslysing (NT)</w:t>
      </w:r>
      <w:r>
        <w:t xml:space="preserve"> växer i fuktig ängsskog, oftast i lövskog och förekommer främst i Skåne men även sällsynt i Småland. Skogslysingslokaler kan snabbt utplånas genom slutavverkning och granplantering eller genom dikning. Arten hör till de arter som bör påverka lokaliseringen av naturreservat av fuktig ängsskogstyp. Skogslysing är typisk art för </w:t>
      </w:r>
      <w:r>
        <w:rPr>
          <w:i/>
        </w:rPr>
        <w:t xml:space="preserve">9080 Lövsumpskog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