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52044-2025 i Tomelilla kommun</w:t>
      </w:r>
    </w:p>
    <w:p>
      <w:r>
        <w:t>Denna tillsynsbegäran behandlar höga naturvärden i avverkningsanmälan A 52044-2025 i Tomelilla kommun som inkom 2025-10-22 och omfattar 9,6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6172255, E 434686 i SWEREF 99 TM.</w:t>
      </w:r>
    </w:p>
    <w:p>
      <w:r>
        <w:t>I och inom 24 meter från avverkningsanmälan finns fynd av 19 naturvårdsarter, varav 9 är rödlistade och 15 är fridlysta: bechsteins fladdermus (CR, §4a), ask (EN), silverblåvinge (VU), barbastell (NT, §4a), brunlångöra (NT, §4a), fransfladdermus (NT, §4a), granspira (NT), grå klaffmätare (NT), nordfladdermus (NT, §4a), dvärgpipistrell (§4a), gråskimlig fladdermus (§4a), gröngöling (§4), mustaschfladdermus (§4a), större brunfladdermus (§4a), större musöra (§4a), trollpipistrell (§4a), vattenfladdermus (§4a),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