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32389-2023 i Tomelilla kommun</w:t>
      </w:r>
    </w:p>
    <w:p>
      <w:r>
        <w:t>Detta dokument behandlar höga naturvärden i avverkningsanmälan A 32389-2023 i Tomelilla kommun. Denna avverkningsanmälan inkom 2023-07-13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större musöra (EN, §4a), barbastell (NT, §4a), brunlångöra (NT, §4a), tibast (S), dvärgpipistrell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6172869, E 434914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större musöra (EN, §4a), barbastell (NT, §4a), brunlångöra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musöra (§4a)</w:t>
      </w:r>
      <w:r>
        <w:t xml:space="preserve">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Större musöra var tidigare rödlistad som starkt hotad (EN) men eftersom det är okänt om arten är reproducerande i Sverige bedöms den i rödlistan 2025 som NA (Ej tillämplig) (SLU Artdatabanken, 2026).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musöra – ekologi samt krav på livsmiljön</w:t>
      </w:r>
    </w:p>
    <w:p>
      <w:r>
        <w:t>Större musöra (§4a) omfattas av bilaga 2 och 4 EU:s art- och habitatdirektiv vilket innebär att arten och dess livsmiljöer är strikt skyddade samt att Natura 2000-områden ska inrättas. Dess bevarandestatus inom Habitatdirektivet är dålig med okänd trend (SLU Artdatabanken, 2026).</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r>
        <w:t>Större musöra var tidigare rödlistad som starkt hotad (EN) men eftersom det är okänt om arten är reproducerande i Sverige bedöms den i rödlistan 2025 som NA (Ej tillämplig) (SLU Artdatabanken, 2026).</w:t>
      </w:r>
    </w:p>
    <w:p>
      <w:pPr>
        <w:pStyle w:val="Heading2"/>
      </w:pPr>
      <w:r>
        <w:t>Referenser – större musöra</w:t>
      </w:r>
    </w:p>
    <w:p>
      <w:r>
        <w:t>SLU Artdatabanken, 2026.</w:t>
      </w:r>
      <w:r>
        <w:rPr>
          <w:i/>
        </w:rPr>
        <w:t xml:space="preserve"> Artfakta: större musöra (Myotis myotis)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