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klagomål behandlar höga naturvärden i avverkningsanmälan A 29860-2022 i Tomelilla kommun som inkom 2022-07-14 och omfattar 14,1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6153036, E 432402 i SWEREF 99 TM.</w:t>
      </w:r>
    </w:p>
    <w:p>
      <w:r>
        <w:t>I och inom 4 meter från avverkningsanmälan finns fynd av 27 naturvårdsarter, varav 16 är rödlistade, 1 är fridlyst, 11 är typiska (T) och 10 är signalarter (S): almlav (EN, T), ask (EN), askvårtlav (EN), Corticeus longulus (VU), fläcklungört (VU), mulmknäppare (VU), bokvedvivel (NT), bokvårtlav (NT, T), desmeknopp (NT), fläderlundlav (NT), hålnunneört (NT, T), hålskenknäppare (NT), jordtistel (NT), sommarfibbla (NT), stiftklotterlav (NT, T), tvåfärgad barksvartbagge (NT), grov baronmossa (S, T), grå skärelav (S), guldlockmossa (S, T), gulnål (S, T), lönnlav (S), piskbaronmossa (S, T), platt fjädermossa (S, T), rikfruktig blemlav (S), strävlosta (S, T), trubbfjädermossa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Fläderlundlav (NT)</w:t>
      </w:r>
      <w:r>
        <w:t xml:space="preserve"> växer främst på äldre fläderbuskar i öppna skogar med hög och jämn luftfuktighet men är också funnen på olika lövträd. En minskning av populationen pågår eller förväntas ske. Minskningen avser förekomstarea, kvalitén på artens habitat, antalet lokalområden och antalet reproduktiva individer (SLU Artdatabanken, 2026).</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