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52044-2025 i Tomelilla kommun</w:t>
      </w:r>
    </w:p>
    <w:p>
      <w:r>
        <w:t>Detta klagomål behandlar höga naturvärden i avverkningsanmälan A 52044-2025 i Tomelilla kommun som inkom 2025-10-22 och omfattar 9,6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2044-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6172255, E 434686 i SWEREF 99 TM.</w:t>
      </w:r>
    </w:p>
    <w:p>
      <w:r>
        <w:t>I och inom 24 meter från avverkningsanmälan finns fynd av 19 naturvårdsarter, varav 9 är rödlistade och 15 är fridlysta: bechsteins fladdermus (CR, §4a), ask (EN), silverblåvinge (VU), barbastell (NT, §4a), brunlångöra (NT, §4a), fransfladdermus (NT, §4a), granspira (NT), grå klaffmätare (NT), nordfladdermus (NT, §4a), dvärgpipistrell (§4a), gråskimlig fladdermus (§4a), gröngöling (§4), mustaschfladdermus (§4a), större brunfladdermus (§4a), större musöra (§4a), trollpipistrell (§4a), vattenfladdermus (§4a),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Bechsteins fladdermus (CR, §4a)</w:t>
      </w:r>
      <w:r>
        <w:t xml:space="preserve"> är en akut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är skogslevande och behöver tillräcklig mängd insektsrik äldre skog med varierad struktur och med hög konnektivitet för att kunna leva i ett område. Den är känslig för fragmentering och det är särskilt viktigt att bevara miljöer med äldre bok- och avenbokskogar med många ihåliga träd (SLU Artdatabanken, 2026; IUCN, 2016).</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musöra (§4a)</w:t>
      </w:r>
      <w:r>
        <w:t xml:space="preserve"> omfattas av bilaga 2 och 4 EU:s art- och habitatdirektiv vilket innebär att arten och dess livsmiljöer är strikt skyddade samt att Natura 2000-områden ska inrättas. Den födosöker i både barr- och lövskog men föredrar lövskog. Arten undviker öppna områden som hyggen och åkrar och är känslig för fragmentering av skogsbiotoper. Avverkning av äldre skogar och dränering är negativt för arten. Större musöra var tidigare rödlistad som starkt hotad (EN) men eftersom det är okänt om arten är reproducerande i Sverige bedöms den i rödlistan 2025 som NA (Ej tillämplig) (SLU Artdatabanken, 2026).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Bechsteins fladdermus – ekologi samt krav på livsmiljön</w:t>
      </w:r>
    </w:p>
    <w:p>
      <w:r>
        <w:t>Bechsteins fladdermus (CR, §4a) är en akut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2026; IUCN, 2016).</w:t>
      </w:r>
    </w:p>
    <w:p>
      <w:r>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skogen för födosök och undviker stora sammanhängande öppna miljöer såsom åkrar och hyggen (SLU Artdatabanken, 2026).</w:t>
      </w:r>
    </w:p>
    <w:p>
      <w:r>
        <w:t>Arten är känslig för fragmentering och avverkning av äldre skogar och hålträd samt dränering är exempel på brukande som kan vara negativt. För bechsteins fladdermus är det särskilt viktigt att bevara miljöer med äldre bok- och avenbokskogar med många ihåliga träd. För att underlätta spridning och nyetablering bör skogsbruket i anslutning till kända lokaler bedrivas med speciella hänsyn, vilket t.ex. kan inkludera kontinuitetsskogsbruk och särskild hänsyn till hålträd, äldre träd och våtmarker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pPr>
        <w:pStyle w:val="Heading2"/>
      </w:pPr>
      <w:r>
        <w:t>Referenser – bechsteins fladdermus</w:t>
      </w:r>
    </w:p>
    <w:p>
      <w:r>
        <w:t xml:space="preserve">IUCN, 2016. </w:t>
      </w:r>
      <w:r>
        <w:rPr>
          <w:i/>
        </w:rPr>
        <w:t>Myotis bechsteinii</w:t>
      </w:r>
      <w:r>
        <w:t>. The IUCN Red List of Threatened Species.</w:t>
      </w:r>
    </w:p>
    <w:p>
      <w:r>
        <w:t>SLU Artdatabanken, 2026.</w:t>
      </w:r>
      <w:r>
        <w:rPr>
          <w:i/>
        </w:rPr>
        <w:t xml:space="preserve"> Artfakta: Bechsteins fladdermus (Myotis bechsteinii).</w:t>
      </w:r>
      <w:r>
        <w:t xml:space="preserve"> https://artfakta.se/taxa/100085</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musöra – ekologi samt krav på livsmiljön</w:t>
      </w:r>
    </w:p>
    <w:p>
      <w:r>
        <w:t>Större musöra (§4a) omfattas av bilaga 2 och 4 EU:s art- och habitatdirektiv vilket innebär att arten och dess livsmiljöer är strikt skyddade samt att Natura 2000-områden ska inrättas. Dess bevarandestatus inom Habitatdirektivet är dålig med okänd trend (SLU Artdatabanken, 2026).</w:t>
      </w:r>
    </w:p>
    <w:p>
      <w:r>
        <w:t>Större musöra är en skogslevande art, som i Sverige främst har påträffats i lövskog, där den ibland landar på marken och fångar marklevande insekter. Den undviker stora sammanhängande öppna miljöer såsom åkrar och hyggen. Större musöra är känslig för fragmentering av skogsbiotoper, eftersom den undviker att passera öppna områden. Påverkan på äldre skogar och dränering är exempel på brukande som kan vara negativt för arten. Det är viktigt att bibehålla tillräcklig mängd lämplig biotop, dvs. äldre, insektsrik, skog med glest busk- och fältskikt, inom utbredningsområdet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Större musöra var tidigare rödlistad som starkt hotad (EN) men eftersom det är okänt om arten är reproducerande i Sverige bedöms den i rödlistan 2025 som NA (Ej tillämplig) (SLU Artdatabanken, 2026).</w:t>
      </w:r>
    </w:p>
    <w:p>
      <w:pPr>
        <w:pStyle w:val="Heading2"/>
      </w:pPr>
      <w:r>
        <w:t>Referenser – större musöra</w:t>
      </w:r>
    </w:p>
    <w:p>
      <w:r>
        <w:t>SLU Artdatabanken, 2026.</w:t>
      </w:r>
      <w:r>
        <w:rPr>
          <w:i/>
        </w:rPr>
        <w:t xml:space="preserve"> Artfakta: större musöra (Myotis myotis)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