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60809-2023 i Tomelilla kommun</w:t>
      </w:r>
    </w:p>
    <w:p>
      <w:r>
        <w:t>Detta klagomål behandlar höga naturvärden i avverkningsanmälan A 60809-2023 i Tomelilla kommun som inkom 2023-11-30 och omfattar 3,6 ha.</w:t>
      </w:r>
    </w:p>
    <w:p>
      <w:pPr>
        <w:pStyle w:val="Caption"/>
      </w:pPr>
      <w:r>
        <w:drawing>
          <wp:inline xmlns:a="http://schemas.openxmlformats.org/drawingml/2006/main" xmlns:pic="http://schemas.openxmlformats.org/drawingml/2006/picture">
            <wp:extent cx="5486400" cy="4240176"/>
            <wp:docPr id="1" name="Picture 1"/>
            <wp:cNvGraphicFramePr>
              <a:graphicFrameLocks noChangeAspect="1"/>
            </wp:cNvGraphicFramePr>
            <a:graphic>
              <a:graphicData uri="http://schemas.openxmlformats.org/drawingml/2006/picture">
                <pic:pic>
                  <pic:nvPicPr>
                    <pic:cNvPr id="0" name="A 60809-2023 karta.png"/>
                    <pic:cNvPicPr/>
                  </pic:nvPicPr>
                  <pic:blipFill>
                    <a:blip r:embed="rId16"/>
                    <a:stretch>
                      <a:fillRect/>
                    </a:stretch>
                  </pic:blipFill>
                  <pic:spPr>
                    <a:xfrm>
                      <a:off x="0" y="0"/>
                      <a:ext cx="5486400" cy="424017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6169400, E 440407 i SWEREF 99 TM.</w:t>
      </w:r>
    </w:p>
    <w:p>
      <w:r>
        <w:t>I och inom 21 meter från avverkningsanmälan finns fynd av 4 naturvårdsarter, varav 1 är rödlistad, 2 är fridlysta, 2 är typiska (T) och 1 är signalart (S): gropticka (NT, T), grovticka (S, T), kungsfågel (§4)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