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29860-2022 i Tomelilla kommun</w:t>
      </w:r>
    </w:p>
    <w:p>
      <w:r>
        <w:t>Detta dokument behandlar höga naturvärden i avverkningsanmälan A 29860-2022 i Tomelilla kommun. Denna avverkningsanmälan inkom 2022-07-14 00:00:00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ask (EN), askvårtlav (EN), almlav (VU), Corticeus longulus (VU), fläcklungört (VU), mulmknäppare (VU), bokvedvivel (NT), bokvårtlav (NT), desmeknopp (NT), hålnunneört (NT), hålskenknäppare (NT), jordtistel (NT), sommarfibbla (NT), stiftklotterlav (NT), tvåfärgad barksvartbagge (NT), grov baronmossa (S), grå skärelav (S), guldlockmossa (S), gulnål (S), lönnlav (S), platt fjädermossa (S), rikfruktig blemlav (S), strävlosta (S), trubbfjädermossa (S) och sankt pers 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Askvårtlav (EN)</w:t>
      </w:r>
      <w:r>
        <w:t xml:space="preserve"> är en starkt hotad art som huvudsakligen växer på slät askbark i fuktig och skuggig, helst sluten ädellövskog. Alla lokaler med arten bör skyddas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