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dokument behandlar höga naturvärden i avverkningsanmälan A 29860-2022 i Tomelilla kommun. Denna avverkningsanmälan inkom 2022-07-14 00:00:00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askvårtlav (EN), almlav (VU), Corticeus longulus (VU), fläcklungört (VU), mulmknäppare (VU), bokvedvivel (NT), bokvårtlav (NT), desmeknopp (NT), hålnunneört (NT), hålskenknäppare (NT), jordtistel (NT), sommarfibbla (NT), stiftklotterlav (NT), tvåfärgad barksvartbagge (NT), grov baronmossa (S), grå skärelav (S), guldlockmossa (S), gulnål (S), lönnlav (S), platt fjädermossa (S), rikfruktig blemlav (S), strävlosta (S), trubbfjädermossa (S) och sankt pers 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6153036, E 432402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Askvårtlav (EN)</w:t>
      </w:r>
      <w:r>
        <w:t xml:space="preserve"> är en starkt hotad art som huvudsakligen växer på slät askbark i fuktig och skuggig, helst sluten ädellövskog. Alla lokaler med arten bör skyddas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