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19500-2024 i Tomelilla kommun</w:t>
      </w:r>
    </w:p>
    <w:p>
      <w:r>
        <w:t>Detta klagomål behandlar höga naturvärden i avverkningsanmälan A 19500-2024 i Tomelilla kommun som inkom 2024-05-17 och omfattar 3,2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A 19500-2024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6174030, E 442009 i SWEREF 99 TM.</w:t>
      </w:r>
    </w:p>
    <w:p>
      <w:r>
        <w:t>Inom 19 meter från avverkningsanmälan finns fynd av 2 naturvårdsarter, varav 2 är typiska (T): blåbär (T) och buskstjärnblomma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Buskstjärnblomma</w:t>
      </w:r>
      <w:r>
        <w:t xml:space="preserve"> är typisk art för </w:t>
      </w:r>
      <w:r>
        <w:rPr>
          <w:i/>
        </w:rPr>
        <w:t>9160 Näringsrik ekskog</w:t>
      </w:r>
      <w:r>
        <w:t>. Buskstjärnblomma är värdväxt för bl.a. de rödlistade fjärilarna skarpringad stjärnblomssäckmal (VU) och mindre buskstjärnblomsmal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