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29860-2022 i Tomelilla kommun</w:t>
      </w:r>
    </w:p>
    <w:p>
      <w:r>
        <w:t>Detta dokument behandlar höga naturvärden i avverkningsanmälan A 29860-2022 i Tomelilla kommun. Denna avverkningsanmälan inkom 2022-07-14 00:00:00 och omfattar 14,1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ask (EN), askvårtlav (EN), almlav (VU), Corticeus longulus (VU), fläcklungört (VU), mulmknäppare (VU), bokvedvivel (NT), bokvårtlav (NT), desmeknopp (NT), hålnunneört (NT), hålskenknäppare (NT), jordtistel (NT), sommarfibbla (NT), stiftklotterlav (NT), tvåfärgad barksvartbagge (NT), grov baronmossa (S), grå skärelav (S), guldlockmossa (S), gulnål (S), lönnlav (S), platt fjädermossa (S), rikfruktig blemlav (S), strävlosta (S), trubbfjädermossa (S) och sankt pers 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6634"/>
            <wp:docPr id="1" name="Picture 1"/>
            <wp:cNvGraphicFramePr>
              <a:graphicFrameLocks noChangeAspect="1"/>
            </wp:cNvGraphicFramePr>
            <a:graphic>
              <a:graphicData uri="http://schemas.openxmlformats.org/drawingml/2006/picture">
                <pic:pic>
                  <pic:nvPicPr>
                    <pic:cNvPr id="0" name="A 29860-2022 karta.png"/>
                    <pic:cNvPicPr/>
                  </pic:nvPicPr>
                  <pic:blipFill>
                    <a:blip r:embed="rId16"/>
                    <a:stretch>
                      <a:fillRect/>
                    </a:stretch>
                  </pic:blipFill>
                  <pic:spPr>
                    <a:xfrm>
                      <a:off x="0" y="0"/>
                      <a:ext cx="5486400" cy="3466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6153036, E 432402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Askvårtlav (EN)</w:t>
      </w:r>
      <w:r>
        <w:t xml:space="preserve"> är en starkt hotad art som huvudsakligen växer på slät askbark i fuktig och skuggig, helst sluten ädellövskog. Alla lokaler med arten bör skyddas (SLU Artdatabanken, 2024).</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i/>
        </w:rPr>
        <w:t>Corticeus longulus</w:t>
      </w:r>
      <w:r>
        <w:rPr>
          <w:b/>
        </w:rPr>
        <w:t xml:space="preserve"> (VU) </w:t>
      </w:r>
      <w:r>
        <w:t xml:space="preserve">är en avlång barksvartbagge med rödbrun grundfärg och långsmal, cylindrisk kroppsform (3–3,5 mm lång). Arten kännetecknas av att bakbenens första fotled är tydligt längre än de följande två lederna, vilket skiljer den från närstående arter. Larvutvecklingen sker i gångar av olika barkborrar under tunn bark på grova gren- och toppdelar på barrträd, främst tall. I Sverige främst hos mindre märgborre och skarptandad barkborre som tillhör en grupp barkborrar vars larver först lever av bark och därefter av blånadssvamp i splintveden. Tallskogar tillhör de livsmiljöer som förändrats i stor skala, där många kvadratmil har omvandlats till unga produktionsskogar. I sådana skogar saknas förutsättningar för de ovannämnda barkborrarna, och den avlånga barksvartbaggen drabbas i än högre grad. Tallskogar med stark förekomst av mindre märgborre och skarptandad barkborre bör avsättas som reservat. Hänsyn bör tas vid slutavverkning av talldominerad skog så att avverkningsrester som gren- och toppdelar (s.k. GROT) lämnas. </w:t>
      </w:r>
      <w:r>
        <w:rPr>
          <w:i/>
        </w:rPr>
        <w:t>Corticeus longulus</w:t>
      </w:r>
      <w:r>
        <w:t xml:space="preserve"> ingår i ett åtgärdsprogram för hotade arter (ÅGP) (SLU Artdatabanken, 2024; Pettersson, 2014).</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Hålnunneört (NT)</w:t>
      </w:r>
      <w:r>
        <w:t xml:space="preserve"> växer i halvskuggig, frisk, kalkhaltig och näringsrik mark i ädellövskogar men också lokalt i parker. I Skåne, där den huvudsakligen är knuten till landskapets rikaste ädellövskogar på frisk eller något fuktig mark, har undersökningar visat att arten kan ha tappat uppemot 75 % av sina lokaler under det senaste halvseklet. Arten har svårt att sprida sig till nya lokaler, varför det är viktigt att ädellövskogar med nunneört sköts på sätt som passar/gynnar arten för att den ska överleva. Alltför kraftig utglesning av träd på växtplatsen ger ökad instrålning, som ofta leder till att nunneörten försvinner (SLU Artdatabanken, 2024; Nitare &amp; Skogsstyrelsen, 2019).</w:t>
      </w:r>
    </w:p>
    <w:p>
      <w:r>
        <w:rPr>
          <w:b/>
        </w:rPr>
        <w:t>Stiftklotterlav (NT)</w:t>
      </w:r>
      <w:r>
        <w:t xml:space="preserve"> är en mycket bra signalart som alltid signalerar skogsområden med höga naturvärden. Den föredrar skog med långvarig kontinuitet av gamla lövträd och permanent hög och jämn luftfuktighet. Arten missgynnas vid avverkning på eller i direkt anslutning till lokalerna. Naturskogsartade ädellövskogsbestånd med rika populationer av laven bör skyddas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