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32389-2023 i Tomelilla kommun</w:t>
      </w:r>
    </w:p>
    <w:p>
      <w:r>
        <w:t>Detta dokument behandlar höga naturvärden i avverkningsanmälan A 32389-2023 i Tomelilla kommun. Denna avverkningsanmälan inkom 2023-07-13 00:00:00 och omfattar 10,8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större musöra (EN, §4a), barbastell (NT, §4a), brunlångöra (NT, §4a), tibast (S), dvärgpipistrell (§4a), större brunfladdermus (§4a) och vattenfladdermus (§4a).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6235"/>
            <wp:docPr id="1" name="Picture 1"/>
            <wp:cNvGraphicFramePr>
              <a:graphicFrameLocks noChangeAspect="1"/>
            </wp:cNvGraphicFramePr>
            <a:graphic>
              <a:graphicData uri="http://schemas.openxmlformats.org/drawingml/2006/picture">
                <pic:pic>
                  <pic:nvPicPr>
                    <pic:cNvPr id="0" name="A 32389-2023 karta.png"/>
                    <pic:cNvPicPr/>
                  </pic:nvPicPr>
                  <pic:blipFill>
                    <a:blip r:embed="rId16"/>
                    <a:stretch>
                      <a:fillRect/>
                    </a:stretch>
                  </pic:blipFill>
                  <pic:spPr>
                    <a:xfrm>
                      <a:off x="0" y="0"/>
                      <a:ext cx="5486400" cy="561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6172869, E 434914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större musöra (EN, §4a), barbastell (NT, §4a), brunlångöra (NT, §4a), dvärgpipistrell (§4a), större brunfladdermus (§4a) och vattenfladdermus (§4a).</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Större musöra (EN, §4a)</w:t>
      </w:r>
      <w:r>
        <w:t xml:space="preserve"> är en starkt hotad fladdermus som omfattas av bilaga 2 och 4 EU:s art- och habitatdirektiv vilket innebär att arten och dess livsmiljöer är strikt skyddade samt att Natura 2000-områden ska inrättas. Den födosöker i både barr- och lövskog men föredrar lövskog. Arten undviker öppna områden som hyggen och åkrar och är känslig för fragmentering av skogsbiotoper. Avverkning av äldre skogar och dränering är negativt för arten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Större musöra – ekologi samt krav på livsmiljön</w:t>
      </w:r>
    </w:p>
    <w:p>
      <w:r>
        <w:t>Större musöra (EN, §4a) är en starkt hotad fladdermus som omfattas av bilaga 2 och 4 EU:s art- och habitatdirektiv vilket innebär att arten och dess livsmiljöer är strikt skyddade samt att Natura 2000-områden ska inrättas. Dess bevarandestatus inom Habitatdirektivet är dålig med okänd trend (SLU Artdatabanken, 2024).</w:t>
      </w:r>
    </w:p>
    <w:p>
      <w:r>
        <w:t>Större musöra är en skogslevande art, som i Sverige främst har påträffats i lövskog, där den ibland landar på marken och fångar marklevande insekter. Den undviker stora sammanhängande öppna miljöer såsom åkrar och hyggen. Större musöra är känslig för fragmentering av skogsbiotoper, eftersom den undviker att passera öppna områden. Påverkan på äldre skogar och dränering är exempel på brukande som kan vara negativt för arten. Det är viktigt att bibehålla tillräcklig mängd lämplig biotop, dvs. äldre, insektsrik, skog med glest busk- och fältskikt, inom utbredningsområdet (SLU Artdatabanken, 2024).</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större musöra</w:t>
      </w:r>
    </w:p>
    <w:p>
      <w:r>
        <w:t>SLU Artdatabanken, 2024.</w:t>
      </w:r>
      <w:r>
        <w:rPr>
          <w:i/>
        </w:rPr>
        <w:t xml:space="preserve"> Artfakta: större musöra (Myotis myotis)</w:t>
      </w:r>
      <w:r>
        <w:t>.</w:t>
      </w:r>
      <w:r>
        <w:rPr>
          <w:i/>
        </w:rPr>
        <w:t xml:space="preserve"> </w:t>
      </w:r>
      <w:r>
        <w:t>https://artfakta.se/taxa/205991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