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50118-2022 i Bromölla kommun</w:t>
      </w:r>
    </w:p>
    <w:p>
      <w:r>
        <w:t>Detta klagomål behandlar höga naturvärden i avverkningsanmälan A 50118-2022 i Bromölla kommun som inkom 2022-10-26 och omfattar 12,8 ha.</w:t>
      </w:r>
    </w:p>
    <w:p>
      <w:pPr>
        <w:pStyle w:val="Caption"/>
      </w:pPr>
      <w:r>
        <w:drawing>
          <wp:inline xmlns:a="http://schemas.openxmlformats.org/drawingml/2006/main" xmlns:pic="http://schemas.openxmlformats.org/drawingml/2006/picture">
            <wp:extent cx="3916318" cy="5724000"/>
            <wp:docPr id="1" name="Picture 1"/>
            <wp:cNvGraphicFramePr>
              <a:graphicFrameLocks noChangeAspect="1"/>
            </wp:cNvGraphicFramePr>
            <a:graphic>
              <a:graphicData uri="http://schemas.openxmlformats.org/drawingml/2006/picture">
                <pic:pic>
                  <pic:nvPicPr>
                    <pic:cNvPr id="0" name="A 50118-2022 karta.png"/>
                    <pic:cNvPicPr/>
                  </pic:nvPicPr>
                  <pic:blipFill>
                    <a:blip r:embed="rId16"/>
                    <a:stretch>
                      <a:fillRect/>
                    </a:stretch>
                  </pic:blipFill>
                  <pic:spPr>
                    <a:xfrm>
                      <a:off x="0" y="0"/>
                      <a:ext cx="3916318"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6222351, E 465206 i SWEREF 99 TM.</w:t>
      </w:r>
    </w:p>
    <w:p>
      <w:r>
        <w:t>I avverkningsanmälan finns fynd av 1 naturvårdsarter, varav 1 är typisk (T) och 1 är signalart (S): myskmadra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Myskmadra </w:t>
      </w:r>
      <w:r>
        <w:t xml:space="preserve">är en bra signalart i hela sitt utbredningsområde i såväl lövskogar, lundar som kalkbarrskogar. Särskilt kräsen tycks den vara i norra delen av sitt utbredningsområde. Många naturliga växtplatser är av reliktkaraktär och växten indikerar här långvarig ekologisk kontinuitet. Arten är känslig för såväl hårt bete som dagens storskaliga skogsbruksmetoder. Myskmadra är typisk art för </w:t>
      </w:r>
      <w:r>
        <w:rPr>
          <w:i/>
        </w:rPr>
        <w:t xml:space="preserve">9050 Näringsrik granskog, 9020 Nordlig ädellövskog, 9130 Näringsrik bokskog </w:t>
      </w:r>
      <w:r>
        <w:t xml:space="preserve">och </w:t>
      </w:r>
      <w:r>
        <w:rPr>
          <w:i/>
        </w:rPr>
        <w:t xml:space="preserve">9160 Näringsrik ekskog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