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9703-2021 i Bromölla kommun</w:t>
      </w:r>
    </w:p>
    <w:p>
      <w:r>
        <w:t>Detta klagomål behandlar höga naturvärden i samrådsanmälan S 9703-2021 i Bromölla kommun som inkom 2021-11-26 och omfattar 10,7 ha.</w:t>
      </w:r>
    </w:p>
    <w:p>
      <w:pPr>
        <w:pStyle w:val="Caption"/>
      </w:pPr>
      <w:r>
        <w:drawing>
          <wp:inline xmlns:a="http://schemas.openxmlformats.org/drawingml/2006/main" xmlns:pic="http://schemas.openxmlformats.org/drawingml/2006/picture">
            <wp:extent cx="5249951" cy="5724000"/>
            <wp:docPr id="1" name="Picture 1"/>
            <wp:cNvGraphicFramePr>
              <a:graphicFrameLocks noChangeAspect="1"/>
            </wp:cNvGraphicFramePr>
            <a:graphic>
              <a:graphicData uri="http://schemas.openxmlformats.org/drawingml/2006/picture">
                <pic:pic>
                  <pic:nvPicPr>
                    <pic:cNvPr id="0" name="S 9703-2021 karta.png"/>
                    <pic:cNvPicPr/>
                  </pic:nvPicPr>
                  <pic:blipFill>
                    <a:blip r:embed="rId16"/>
                    <a:stretch>
                      <a:fillRect/>
                    </a:stretch>
                  </pic:blipFill>
                  <pic:spPr>
                    <a:xfrm>
                      <a:off x="0" y="0"/>
                      <a:ext cx="5249951"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6230752, E 466542 i SWEREF 99 TM.</w:t>
      </w:r>
    </w:p>
    <w:p>
      <w:r>
        <w:t>I och inom 23 meter från samrådsanmälan finns fynd av 16 naturvårdsarter, varav 7 är rödlistade, 1 är fridlyst, 10 är typiska (T) och 8 är signalarter (S): klosterlav (VU), vedlavklubba (VU), bokvårtlav (NT, T), koralltaggsvamp (NT, T), orangepudrad klotterlav (NT), stiftklotterlav (NT, T), violettgrå porlav (NT), barkkornlav (S, T), blåsfliksmossa (S, T), fällmossa (S, T), guldlockmossa (S, T), havstulpanlav (S, T), klippfrullania (S, T), platt fjädermossa (S, T), västlig hakmossa (S)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Violettgrå porlav (NT)</w:t>
      </w:r>
      <w:r>
        <w:t xml:space="preserve"> växer företrädesvis på stammar och grövre grenar av bok, men den förekommer även rätt ofta på tunna grenar av ek i hedekskog. Enstaka nutida fynd har även gjorts på klibbal, björk, hassel, avenbok, lind och rönn. Lokalerna utgörs oftast av gammal, sluten till halvöppen bokskog, men flera fynd är även gjorda i hedekskog. Kalavverkning utgör ett hot liksom ett stort inslag av gran i bokskogen. Åtminstone de rikligaste lokalerna bör skyddas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16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