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1066-2026 i Bromölla kommun</w:t>
      </w:r>
    </w:p>
    <w:p>
      <w:r>
        <w:t>Denna tillsynsbegäran behandlar höga naturvärden i samrådsanmälan S 1066-2026 i Bromölla kommun som inkom 2026-04-15 och omfattar 31,4 ha.</w:t>
      </w:r>
    </w:p>
    <w:p>
      <w:pPr>
        <w:pStyle w:val="Caption"/>
      </w:pPr>
      <w:r>
        <w:drawing>
          <wp:inline xmlns:a="http://schemas.openxmlformats.org/drawingml/2006/main" xmlns:pic="http://schemas.openxmlformats.org/drawingml/2006/picture">
            <wp:extent cx="5486400" cy="5214051"/>
            <wp:docPr id="1" name="Picture 1"/>
            <wp:cNvGraphicFramePr>
              <a:graphicFrameLocks noChangeAspect="1"/>
            </wp:cNvGraphicFramePr>
            <a:graphic>
              <a:graphicData uri="http://schemas.openxmlformats.org/drawingml/2006/picture">
                <pic:pic>
                  <pic:nvPicPr>
                    <pic:cNvPr id="0" name="S 1066-2026 karta.png"/>
                    <pic:cNvPicPr/>
                  </pic:nvPicPr>
                  <pic:blipFill>
                    <a:blip r:embed="rId16"/>
                    <a:stretch>
                      <a:fillRect/>
                    </a:stretch>
                  </pic:blipFill>
                  <pic:spPr>
                    <a:xfrm>
                      <a:off x="0" y="0"/>
                      <a:ext cx="5486400" cy="5214051"/>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6220172, E 471471 i SWEREF 99 TM.</w:t>
      </w:r>
    </w:p>
    <w:p>
      <w:r>
        <w:t>I samrådsanmälan finns fynd av 7 naturvårdsarter, varav 2 är rödlistade, 1 är fridlyst, 3 är typiska (T) och 4 är signalarter (S): igelkott (VU), bokvårtlav (NT, T), havstulpanlav (S, T), myskmadra (S, T), skogsbräsma (S), stor häxört (S) och grönvit nattviol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Bokvårtlav (NT)</w:t>
      </w:r>
      <w:r>
        <w:t xml:space="preserve"> växer på barken av gamla bokar samt avenbok och är en bra signalart för skogsbestånd med höga naturvärden. Gamla bokskogar där laven förekommer i särskilt rikliga bestånd bör bevaras. Bokvårtlav är typisk art för </w:t>
      </w:r>
      <w:r>
        <w:rPr>
          <w:i/>
        </w:rPr>
        <w:t>9110 Näringsfattig bokskog, 9130 Näringsrik bokskog</w:t>
      </w:r>
      <w:r>
        <w:t xml:space="preserve"> och </w:t>
      </w:r>
      <w:r>
        <w:rPr>
          <w:i/>
        </w:rPr>
        <w:t>9160 Näringsrik ekskog</w:t>
      </w:r>
      <w:r>
        <w:t xml:space="preserve"> (SLU Artdatabanken, 2024; Nitare &amp; Skogsstyrelsen, 2019).</w:t>
      </w:r>
    </w:p>
    <w:p>
      <w:r>
        <w:rPr>
          <w:b/>
        </w:rPr>
        <w:t>Havstulpanlav</w:t>
      </w:r>
      <w:r>
        <w:t xml:space="preserve"> är en mycket bra signalart som överallt indikerar skogsbestånd med höga naturvärden. Den växer främst på barken av lövträd i gamla, skuggiga och fuktiga skogsmiljöer, men förekommer relativt ofta även på äldre gran i sumpskog. Havstulpanlav är typisk art för </w:t>
      </w:r>
      <w:r>
        <w:rPr>
          <w:i/>
        </w:rPr>
        <w:t xml:space="preserve">9020 Nordlig ädellövskog, 9070 Trädklädd betesmark, 9110 Näringsfattig bokskog, 9130 Näringsrik bokskog, 9160 Näringsrik ekskog, 9180 Ädellövskog i branter </w:t>
      </w:r>
      <w:r>
        <w:t>och</w:t>
      </w:r>
      <w:r>
        <w:rPr>
          <w:i/>
        </w:rPr>
        <w:t xml:space="preserve"> 9190 Näringsfattig ekskog </w:t>
      </w:r>
      <w:r>
        <w:t>(Nitare &amp; Skogsstyrelsen, 2019; SLU Artdatabanken, 2025).</w:t>
      </w:r>
    </w:p>
    <w:p>
      <w:r>
        <w:rPr>
          <w:b/>
        </w:rPr>
        <w:t xml:space="preserve">Myskmadra </w:t>
      </w:r>
      <w:r>
        <w:t xml:space="preserve">är en bra signalart i hela sitt utbredningsområde i såväl lövskogar, lundar som kalkbarrskogar. Särskilt kräsen tycks den vara i norra delen av sitt utbredningsområde. Många naturliga växtplatser är av reliktkaraktär och växten indikerar här långvarig ekologisk kontinuitet. Arten är känslig för såväl hårt bete som dagens storskaliga skogsbruksmetoder. Myskmadra är typisk art för </w:t>
      </w:r>
      <w:r>
        <w:rPr>
          <w:i/>
        </w:rPr>
        <w:t xml:space="preserve">9050 Näringsrik granskog, 9020 Nordlig ädellövskog, 9130 Näringsrik bokskog </w:t>
      </w:r>
      <w:r>
        <w:t xml:space="preserve">och </w:t>
      </w:r>
      <w:r>
        <w:rPr>
          <w:i/>
        </w:rPr>
        <w:t xml:space="preserve">9160 Näringsrik ekskog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