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1328-2025 i Bromölla kommun</w:t>
      </w:r>
    </w:p>
    <w:p>
      <w:r>
        <w:t>Detta klagomål behandlar höga naturvärden i samrådsanmälan S 1328-2025 i Bromölla kommun som inkom 2025-04-23 och omfattar 27,2 ha.</w:t>
      </w:r>
    </w:p>
    <w:p>
      <w:pPr>
        <w:pStyle w:val="Caption"/>
      </w:pPr>
      <w:r>
        <w:drawing>
          <wp:inline xmlns:a="http://schemas.openxmlformats.org/drawingml/2006/main" xmlns:pic="http://schemas.openxmlformats.org/drawingml/2006/picture">
            <wp:extent cx="5486400" cy="4030901"/>
            <wp:docPr id="1" name="Picture 1"/>
            <wp:cNvGraphicFramePr>
              <a:graphicFrameLocks noChangeAspect="1"/>
            </wp:cNvGraphicFramePr>
            <a:graphic>
              <a:graphicData uri="http://schemas.openxmlformats.org/drawingml/2006/picture">
                <pic:pic>
                  <pic:nvPicPr>
                    <pic:cNvPr id="0" name="S 1328-2025 karta.png"/>
                    <pic:cNvPicPr/>
                  </pic:nvPicPr>
                  <pic:blipFill>
                    <a:blip r:embed="rId16"/>
                    <a:stretch>
                      <a:fillRect/>
                    </a:stretch>
                  </pic:blipFill>
                  <pic:spPr>
                    <a:xfrm>
                      <a:off x="0" y="0"/>
                      <a:ext cx="5486400" cy="4030901"/>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6214239, E 469454 i SWEREF 99 TM.</w:t>
      </w:r>
    </w:p>
    <w:p>
      <w:r>
        <w:t>I och inom 24 meter från samrådsanmälan finns fynd av 2 naturvårdsarter, varav 2 är rödlistade och 1 är fridlyst: bivråk (NT, §4) och luddfingerört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