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8989-2024 i Osby kommun</w:t>
      </w:r>
    </w:p>
    <w:p>
      <w:r>
        <w:t>Denna tillsynsbegäran behandlar höga naturvärden i avverkningsanmälan A 8989-2024 i Osby kommun som inkom 2024-03-05 och omfattar 4,2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8989-2024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6252908, E 459757 i SWEREF 99 TM.</w:t>
      </w:r>
    </w:p>
    <w:p>
      <w:r>
        <w:t>I avverkningsanmälan finns fynd av 2 naturvårdsarter, varav 1 är rödlistad, 1 är typisk (T) och 1 är signalart (S): kortskaftad parasitspik (VU)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parasitspik (VU)</w:t>
      </w:r>
      <w:r>
        <w:t xml:space="preserve"> är en liten knappnålsliknande olicheniserad svamp som parasiterar på porlav </w:t>
      </w:r>
      <w:r>
        <w:rPr>
          <w:i/>
        </w:rPr>
        <w:t>Pertusaria pertusa</w:t>
      </w:r>
      <w:r>
        <w:t>. Arten förekommer på gamla ekar och bokar i öppna lägen med hög luftfuktighet. Arten hotas genom att halvöppna brynmiljöer med lövträd av bok och ek samt blandskogsbestånd med gran, ek och bok avverkas. Den hotas även av att de öppna hagmarkerna och särskilt ekhagarna slutit sig eller överförts till barrskog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