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4405-2024 i Osby kommun</w:t>
      </w:r>
    </w:p>
    <w:p>
      <w:r>
        <w:t>Detta klagomål behandlar höga naturvärden i samrådsanmälan S 4405-2024 i Osby kommun som inkom 2024-10-24 och omfattar 17,0 ha.</w:t>
      </w:r>
    </w:p>
    <w:p>
      <w:pPr>
        <w:pStyle w:val="Caption"/>
      </w:pPr>
      <w:r>
        <w:drawing>
          <wp:inline xmlns:a="http://schemas.openxmlformats.org/drawingml/2006/main" xmlns:pic="http://schemas.openxmlformats.org/drawingml/2006/picture">
            <wp:extent cx="4343159" cy="5724000"/>
            <wp:docPr id="1" name="Picture 1"/>
            <wp:cNvGraphicFramePr>
              <a:graphicFrameLocks noChangeAspect="1"/>
            </wp:cNvGraphicFramePr>
            <a:graphic>
              <a:graphicData uri="http://schemas.openxmlformats.org/drawingml/2006/picture">
                <pic:pic>
                  <pic:nvPicPr>
                    <pic:cNvPr id="0" name="S 4405-2024 karta.png"/>
                    <pic:cNvPicPr/>
                  </pic:nvPicPr>
                  <pic:blipFill>
                    <a:blip r:embed="rId16"/>
                    <a:stretch>
                      <a:fillRect/>
                    </a:stretch>
                  </pic:blipFill>
                  <pic:spPr>
                    <a:xfrm>
                      <a:off x="0" y="0"/>
                      <a:ext cx="4343159" cy="5724000"/>
                    </a:xfrm>
                    <a:prstGeom prst="rect"/>
                  </pic:spPr>
                </pic:pic>
              </a:graphicData>
            </a:graphic>
          </wp:inline>
        </w:drawing>
      </w:r>
    </w:p>
    <w:p>
      <w:pPr>
        <w:pStyle w:val="Caption"/>
        <w:spacing w:after="240"/>
      </w:pPr>
      <w:r>
        <w:t>Figur 1. Fyndplatser för naturvårdsarter inom 10 meter från samrådsanmälan. Markörer utan svart kant är placerade på fyndplatsen. Markörer med svart kant är placerade vid sidan av fyndplatsen och har ett svart streck som visar fyndplatsens exakta position. Kartans mittpunktskoordinat är N 6255794, E 433592 i SWEREF 99 TM.</w:t>
      </w:r>
    </w:p>
    <w:p>
      <w:r>
        <w:t>Inom 10 meter från samrådsanmälan finns fynd av 17 naturvårdsarter, varav 11 är rödlistade, 11 är typiska (T) och 6 är signalarter (S): savlundlav (EN), blek kraterlav (VU), kortskaftad parasitspik (VU), rosa lundlav (VU, T), ädelkronlav (VU), ädellav (VU, T), bokkantlav (NT, T), bokvårtlav (NT, T), lunglav (NT, T), parasitsotlav (NT), violettgrå porlav (NT), barkkornlav (S, T), bokfjädermossa (S, T), fällmossa (S, T), havstulpanlav (S, T), klippfrullania (S, T) och platt 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Kortskaftad parasitspik (VU)</w:t>
      </w:r>
      <w:r>
        <w:t xml:space="preserve"> är en liten knappnålsliknande olicheniserad svamp som parasiterar på porlav </w:t>
      </w:r>
      <w:r>
        <w:rPr>
          <w:i/>
        </w:rPr>
        <w:t>Pertusaria pertusa</w:t>
      </w:r>
      <w:r>
        <w:t>. Arten förekommer på gamla ekar och bokar i öppna lägen med hög luftfuktighet. Arten hotas genom att halvöppna brynmiljöer med lövträd av bok och ek samt blandskogsbestånd med gran, ek och bok avverkas. Den hotas även av att de öppna hagmarkerna och särskilt ekhagarna slutit sig eller överförts till barrskog (SLU Artdatabanken, 2025).</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Parasitsotlav (NT)</w:t>
      </w:r>
      <w:r>
        <w:t xml:space="preserve"> är funnen på grova, ofta halvöppet stående, ädellövträd, oftast ek men även på ask och lönn. Den växer som parasit på olika skorplavar, nästan alltid på bålen av</w:t>
      </w:r>
      <w:r>
        <w:rPr>
          <w:i/>
        </w:rPr>
        <w:t xml:space="preserve"> Pertusaria</w:t>
      </w:r>
      <w:r>
        <w:t>-arter</w:t>
      </w:r>
      <w:r>
        <w:rPr>
          <w:i/>
        </w:rPr>
        <w:t xml:space="preserve"> </w:t>
      </w:r>
      <w:r>
        <w:t>och oftast på hagelporlav</w:t>
      </w:r>
      <w:r>
        <w:rPr>
          <w:i/>
        </w:rPr>
        <w:t xml:space="preserve"> P. coccodes</w:t>
      </w:r>
      <w:r>
        <w:t>. Hävdade marker där arten förekommer bör fortsätta att hävdas. Spara och friställ gamla grova ädellövträd (SLU Artdatabanken, 2026).</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