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64937-2023 i Osby kommun</w:t>
      </w:r>
    </w:p>
    <w:p>
      <w:r>
        <w:t>Detta dokument behandlar höga naturvärden i avverkningsanmälan A 64937-2023 i Osby kommun. Denna avverkningsanmälan inkom 2023-12-22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kortskaftad parasitspik (VU), liten blekspik (VU), rosa lundlav (VU), bokkantlav (NT), bokvårtlav (NT), fällmossa (S), guldlockmossa (S), gulnål (S), havstulpanlav (S), klippfrullania (S), lönnlav (S), platt fjädermossa (S) och västlig hakmossa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6404"/>
            <wp:docPr id="1" name="Picture 1"/>
            <wp:cNvGraphicFramePr>
              <a:graphicFrameLocks noChangeAspect="1"/>
            </wp:cNvGraphicFramePr>
            <a:graphic>
              <a:graphicData uri="http://schemas.openxmlformats.org/drawingml/2006/picture">
                <pic:pic>
                  <pic:nvPicPr>
                    <pic:cNvPr id="0" name="A 64937-2023 karta.png"/>
                    <pic:cNvPicPr/>
                  </pic:nvPicPr>
                  <pic:blipFill>
                    <a:blip r:embed="rId16"/>
                    <a:stretch>
                      <a:fillRect/>
                    </a:stretch>
                  </pic:blipFill>
                  <pic:spPr>
                    <a:xfrm>
                      <a:off x="0" y="0"/>
                      <a:ext cx="5486400" cy="41864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6264704, E 445129 i SWEREF 99 TM.</w:t>
      </w:r>
    </w:p>
    <w:p>
      <w:r>
        <w:rPr>
          <w:b/>
        </w:rPr>
        <w:t>Bokkantlav (NT)</w:t>
      </w:r>
      <w:r>
        <w:t xml:space="preserve"> är en bra signalart för gammal bokskog med höga naturvärden där det normalt finns många andra ovanliga och rödlistade arter. Den förekommer huvudsakligen i gammal skogsmark där den föredrar halvöppna till skuggiga miljöer med hög luftfuktighet. Spara äldre bokbestånd i områden med lång kontinuitet av bok (SLU Artdatabanken, 2024; Nitare &amp; Skogsstyrelsen, 2019).</w:t>
      </w:r>
    </w:p>
    <w:p>
      <w:r>
        <w:rPr>
          <w:b/>
        </w:rPr>
        <w:t>Bokvårtlav (NT)</w:t>
      </w:r>
      <w:r>
        <w:t xml:space="preserve"> växer på barken av gamla bokar samt avenbok och är en bra signalart för skogsbestånd med höga naturvärden. Gamla bokskogar där laven förekommer i särskilt rikliga bestånd bör bevaras (SLU Artdatabanken, 2024;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(Nitare &amp; Skogsstyrelsen, 2019).</w:t>
      </w:r>
    </w:p>
    <w:p>
      <w:r>
        <w:rPr>
          <w:b/>
        </w:rPr>
        <w:t>Liten blekspik (VU)</w:t>
      </w:r>
      <w:r>
        <w:t xml:space="preserve"> växer på lövträdsbark och ved i lägen med hög luftfuktighet. I norra Sverige hittas arten vanligtvis på gammal björk, al och sälg medan den i Syd- och Mellansverige oftast växer på ask, alm, lönn och ek. Avverkning av alléer och hamlade träd, almsjuka och askskottssjukan är hot i södra och mellersta Sverige. De nordliga förekomsterna hotas av avverkning och bör skyddas. Alla blekspikar av släktet </w:t>
      </w:r>
      <w:r>
        <w:rPr>
          <w:i/>
        </w:rPr>
        <w:t>Sclerophora</w:t>
      </w:r>
      <w:r>
        <w:t xml:space="preserve"> ​​​​är utmärkta signalarter för gamla träd och skogsområden med höga naturvärden (SLU Artdatabanken, 2024; Nitare &amp; Skogsstyrelsen, 2019).</w:t>
      </w:r>
    </w:p>
    <w:p>
      <w:r>
        <w:rPr>
          <w:b/>
        </w:rPr>
        <w:t>Rosa lundlav (VU)</w:t>
      </w:r>
      <w:r>
        <w:t xml:space="preserve"> växer på ädellövträd i gamla skogar med hög och jämn luftfuktighet och signalerar skyddsvärda ädellövskogar med lång kontinuitet. Minskningstakten uppgår till 30 (20–50) % inom 50 år och överstiger gränsvärdet för Sårbar (VU). Lokaler med rika förekomster bör skyddas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