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4405-2024 i Osby kommun</w:t>
      </w:r>
    </w:p>
    <w:p>
      <w:r>
        <w:t>Detta klagomål behandlar höga naturvärden i samrådsanmälan S 4405-2024 i Osby kommun som inkom 2024-10-24 och omfattar 17,0 ha.</w:t>
      </w:r>
    </w:p>
    <w:p>
      <w:pPr>
        <w:pStyle w:val="Caption"/>
      </w:pPr>
      <w:r>
        <w:drawing>
          <wp:inline xmlns:a="http://schemas.openxmlformats.org/drawingml/2006/main" xmlns:pic="http://schemas.openxmlformats.org/drawingml/2006/picture">
            <wp:extent cx="4343159" cy="5724000"/>
            <wp:docPr id="1" name="Picture 1"/>
            <wp:cNvGraphicFramePr>
              <a:graphicFrameLocks noChangeAspect="1"/>
            </wp:cNvGraphicFramePr>
            <a:graphic>
              <a:graphicData uri="http://schemas.openxmlformats.org/drawingml/2006/picture">
                <pic:pic>
                  <pic:nvPicPr>
                    <pic:cNvPr id="0" name="S 4405-2024 karta.png"/>
                    <pic:cNvPicPr/>
                  </pic:nvPicPr>
                  <pic:blipFill>
                    <a:blip r:embed="rId16"/>
                    <a:stretch>
                      <a:fillRect/>
                    </a:stretch>
                  </pic:blipFill>
                  <pic:spPr>
                    <a:xfrm>
                      <a:off x="0" y="0"/>
                      <a:ext cx="4343159"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6255794, E 433592 i SWEREF 99 TM.</w:t>
      </w:r>
    </w:p>
    <w:p>
      <w:r>
        <w:t>Inom 10 meter från samrådsanmälan finns fynd av 17 naturvårdsarter, varav 11 är rödlistade, 11 är typiska (T) och 6 är signalarter (S): savlundlav (EN), blek kraterlav (VU), kortskaftad parasitspik (VU), rosa lundlav (VU, T), ädelkronlav (VU), ädellav (VU, T), bokkantlav (NT, T), bokvårtlav (NT, T), lunglav (NT, T), parasitsotlav (NT), violettgrå porlav (NT), barkkornlav (S, T), bokfjädermossa (S, T), fällmossa (S, T), havstulpanlav (S, T), klippfrullania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Parasitsotlav (NT)</w:t>
      </w:r>
      <w:r>
        <w:t xml:space="preserve"> är funnen på grova, ofta halvöppet stående, ädellövträd, oftast ek men även på ask och lönn. Den växer som parasit på olika skorplavar, nästan alltid på bålen av</w:t>
      </w:r>
      <w:r>
        <w:rPr>
          <w:i/>
        </w:rPr>
        <w:t xml:space="preserve"> Pertusaria</w:t>
      </w:r>
      <w:r>
        <w:t>-arter</w:t>
      </w:r>
      <w:r>
        <w:rPr>
          <w:i/>
        </w:rPr>
        <w:t xml:space="preserve"> </w:t>
      </w:r>
      <w:r>
        <w:t>och oftast på hagelporlav</w:t>
      </w:r>
      <w:r>
        <w:rPr>
          <w:i/>
        </w:rPr>
        <w:t xml:space="preserve"> P. coccodes</w:t>
      </w:r>
      <w:r>
        <w:t>. Hävdade marker där arten förekommer bör fortsätta att hävdas. Spara och friställ gamla grova ädellövträd (SLU Artdatabanken, 2026).</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