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28-2026 i Osby kommun</w:t>
      </w:r>
    </w:p>
    <w:p>
      <w:r>
        <w:t>Denna tillsynsbegäran behandlar höga naturvärden i samrådsanmälan S 28-2026 i Osby kommun som inkom 2026-01-08 och omfattar 100,4 ha.</w:t>
      </w:r>
    </w:p>
    <w:p>
      <w:pPr>
        <w:pStyle w:val="Caption"/>
      </w:pPr>
      <w:r>
        <w:drawing>
          <wp:inline xmlns:a="http://schemas.openxmlformats.org/drawingml/2006/main" xmlns:pic="http://schemas.openxmlformats.org/drawingml/2006/picture">
            <wp:extent cx="5486400" cy="4886876"/>
            <wp:docPr id="1" name="Picture 1"/>
            <wp:cNvGraphicFramePr>
              <a:graphicFrameLocks noChangeAspect="1"/>
            </wp:cNvGraphicFramePr>
            <a:graphic>
              <a:graphicData uri="http://schemas.openxmlformats.org/drawingml/2006/picture">
                <pic:pic>
                  <pic:nvPicPr>
                    <pic:cNvPr id="0" name="S 28-2026 karta.png"/>
                    <pic:cNvPicPr/>
                  </pic:nvPicPr>
                  <pic:blipFill>
                    <a:blip r:embed="rId16"/>
                    <a:stretch>
                      <a:fillRect/>
                    </a:stretch>
                  </pic:blipFill>
                  <pic:spPr>
                    <a:xfrm>
                      <a:off x="0" y="0"/>
                      <a:ext cx="5486400" cy="4886876"/>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6243058, E 437813 i SWEREF 99 TM.</w:t>
      </w:r>
    </w:p>
    <w:p>
      <w:r>
        <w:t>I och inom 25 meter från samrådsanmälan finns fynd av 12 naturvårdsarter, varav 5 är rödlistade, 11 är fridlysta, 3 är typiska (T) och 1 är signalart (S): grönfink (VU, §4), entita (NT, T, §4), järnsparv (NT, §4), sädesärla (NT, §4), talltita (NT, §4), blåmossa (S, T), spillkråka (T, §4), grönsiska (§4), kråka (§4), kungsfågel (§4), svartvit flugsnappare (§4) och ärtsångare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