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35901-2022 i Osby kommun</w:t>
      </w:r>
    </w:p>
    <w:p>
      <w:r>
        <w:t>Detta klagomål behandlar höga naturvärden i avverkningsanmälan A 35901-2022 i Osby kommun som inkom 2022-08-29 och omfattar 7,1 ha.</w:t>
      </w:r>
    </w:p>
    <w:p>
      <w:pPr>
        <w:pStyle w:val="Caption"/>
      </w:pPr>
      <w:r>
        <w:drawing>
          <wp:inline xmlns:a="http://schemas.openxmlformats.org/drawingml/2006/main" xmlns:pic="http://schemas.openxmlformats.org/drawingml/2006/picture">
            <wp:extent cx="5486400" cy="4688892"/>
            <wp:docPr id="1" name="Picture 1"/>
            <wp:cNvGraphicFramePr>
              <a:graphicFrameLocks noChangeAspect="1"/>
            </wp:cNvGraphicFramePr>
            <a:graphic>
              <a:graphicData uri="http://schemas.openxmlformats.org/drawingml/2006/picture">
                <pic:pic>
                  <pic:nvPicPr>
                    <pic:cNvPr id="0" name="A 35901-2022 karta.png"/>
                    <pic:cNvPicPr/>
                  </pic:nvPicPr>
                  <pic:blipFill>
                    <a:blip r:embed="rId16"/>
                    <a:stretch>
                      <a:fillRect/>
                    </a:stretch>
                  </pic:blipFill>
                  <pic:spPr>
                    <a:xfrm>
                      <a:off x="0" y="0"/>
                      <a:ext cx="5486400" cy="468889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6257749, E 439492 i SWEREF 99 TM.</w:t>
      </w:r>
    </w:p>
    <w:p>
      <w:r>
        <w:t>Inom 15 meter från avverkningsanmälan finns fynd av 5 naturvårdsarter, varav 2 är rödlistade, 3 är typiska (T) och 3 är signalarter (S): liten lundlav (NT), spinnfingersvamp (NT), havstulpanlav (S, T), platt fjädermossa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Liten lundlav (NT) </w:t>
      </w:r>
      <w:r>
        <w:t>växer i Syd- och Mellansverige i gamla ädellövskogar med lång trädkontinuitet, främst på bok. Oftast på gamla senvuxna träd med grov och sprucken bark. Arten påverkas negativt av brist på kontinuitetsskog och lämpliga träd nyskapas i mycket begränsad omfattning. Minskningstakten uppgår till 15 (10–25) % inom 50 år och bedöms vara nära gränsvärdet för sårbar (VU) (SLU Artdatabanken, 2026).</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