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1099-2024 i Perstorps kommun</w:t>
      </w:r>
    </w:p>
    <w:p>
      <w:r>
        <w:t>Denna tillsynsbegäran behandlar höga naturvärden i samrådsanmälan S 1099-2024 i Perstorps kommun som inkom 2024-04-09 och omfattar 51,5 ha.</w:t>
      </w:r>
    </w:p>
    <w:p>
      <w:pPr>
        <w:pStyle w:val="Caption"/>
      </w:pPr>
      <w:r>
        <w:drawing>
          <wp:inline xmlns:a="http://schemas.openxmlformats.org/drawingml/2006/main" xmlns:pic="http://schemas.openxmlformats.org/drawingml/2006/picture">
            <wp:extent cx="5486400" cy="3133470"/>
            <wp:docPr id="1" name="Picture 1"/>
            <wp:cNvGraphicFramePr>
              <a:graphicFrameLocks noChangeAspect="1"/>
            </wp:cNvGraphicFramePr>
            <a:graphic>
              <a:graphicData uri="http://schemas.openxmlformats.org/drawingml/2006/picture">
                <pic:pic>
                  <pic:nvPicPr>
                    <pic:cNvPr id="0" name="S 1099-2024 karta.png"/>
                    <pic:cNvPicPr/>
                  </pic:nvPicPr>
                  <pic:blipFill>
                    <a:blip r:embed="rId16"/>
                    <a:stretch>
                      <a:fillRect/>
                    </a:stretch>
                  </pic:blipFill>
                  <pic:spPr>
                    <a:xfrm>
                      <a:off x="0" y="0"/>
                      <a:ext cx="5486400" cy="313347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6220938, E 397106 i SWEREF 99 TM.</w:t>
      </w:r>
    </w:p>
    <w:p>
      <w:r>
        <w:t>I och inom 25 meter från samrådsanmälan finns fynd av 10 naturvårdsarter, varav 4 är fridlysta, 5 är typiska (T) och 6 är signalarter (S): blåmossa (S, T), brandticka (S), guldlockmossa (S, T), rostfläck (S, T), strutbräken (S, T), västlig hakmossa (S), spillkråka (T, §4), kopparödla (§6),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blåmossa (S, T), guldlockmossa (S, T), rostfläck (S, T), strutbräken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