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och inom 6 meter från avverkningsanmälan finns fynd av 14 naturvårdsarter, varav 4 är rödlistade, 7 är fridlysta, 8 är typiska (T) och 2 är signalarter (S): entita (NT, T, §4), gropticka (NT, T), rödvingetrast (NT, §4), svart skogssnigel (NT), platt fjädermossa (S, T), västlig hakmossa (S), bergfink (T, §4), blåbär (T), majbräken (T), skriftlav (T), spillkråka (T, §4), skogsödla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