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och inom 6 meter från avverkningsanmälan finns fynd av 13 naturvårdsarter, varav 3 är rödlistade, 6 är fridlysta, 8 är typiska (T) och 2 är signalarter (S): entita (NT, T, §4), gropticka (NT, T), svart skogssnigel (NT), platt fjädermossa (S, T), västlig hakmossa (S), bergfink (T, §4), blåbär (T), majbräken (T), skriftlav (T), spillkråka (T, §4), skogsödla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