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23 meter från samrådsanmälan finns fynd av 13 naturvårdsarter, varav 3 är rödlistade, 6 är fridlysta, 8 är typiska (T) och 2 är signalarter (S): entita (NT, T, §4), gropticka (NT, T), svart skogssnigel (NT), platt fjädermossa (S, T), västlig hakmossa (S), bergfink (T, §4), blåbär (T), majbräken (T), skriftlav (T), spillkråka (T, §4), skogsödla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platt fjädermossa (S, T), bergfink (T, §4), blåbär (T), majbräken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