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2762-2024 i Klippans kommun</w:t>
      </w:r>
    </w:p>
    <w:p>
      <w:r>
        <w:t>Detta klagomål behandlar höga naturvärden i avverkningsanmälan A 2762-2024 i Klippans kommun som inkom 2024-01-23 och omfattar 15,7 ha.</w:t>
      </w:r>
    </w:p>
    <w:p>
      <w:pPr>
        <w:pStyle w:val="Caption"/>
      </w:pPr>
      <w:r>
        <w:drawing>
          <wp:inline xmlns:a="http://schemas.openxmlformats.org/drawingml/2006/main" xmlns:pic="http://schemas.openxmlformats.org/drawingml/2006/picture">
            <wp:extent cx="5328484" cy="5724000"/>
            <wp:docPr id="1" name="Picture 1"/>
            <wp:cNvGraphicFramePr>
              <a:graphicFrameLocks noChangeAspect="1"/>
            </wp:cNvGraphicFramePr>
            <a:graphic>
              <a:graphicData uri="http://schemas.openxmlformats.org/drawingml/2006/picture">
                <pic:pic>
                  <pic:nvPicPr>
                    <pic:cNvPr id="0" name="A 2762-2024 karta.png"/>
                    <pic:cNvPicPr/>
                  </pic:nvPicPr>
                  <pic:blipFill>
                    <a:blip r:embed="rId16"/>
                    <a:stretch>
                      <a:fillRect/>
                    </a:stretch>
                  </pic:blipFill>
                  <pic:spPr>
                    <a:xfrm>
                      <a:off x="0" y="0"/>
                      <a:ext cx="5328484" cy="5724000"/>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6216495, E 384711 i SWEREF 99 TM.</w:t>
      </w:r>
    </w:p>
    <w:p>
      <w:r>
        <w:t>I och inom 4 meter från avverkningsanmälan finns fynd av 14 naturvårdsarter, varav 6 är rödlistade, 5 är fridlysta, 8 är typiska (T) och 5 är signalarter (S): finporing (VU), bokkantlav (NT, T), bokvårtlav (NT, T), entita (NT, T, §4), mindre hackspett (NT, T, §4), sydlig sotticka (NT), havstulpanlav (S, T), klippfrullania (S, T), platt fjädermossa (S, T), stor revmossa (S), västlig hakmossa (S), spillkråka (T, §4), grönsiska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Finporing (VU)</w:t>
      </w:r>
      <w:r>
        <w:t xml:space="preserve"> är en iögonfallande art knuten till fuktiga naturskogsartade miljöer med grova träd och mycket död ved i olika nedbrytningsstadier. Den växer på lågor av både löv- och barrträd, t.ex. gråal, björk och gran. Fruktkropparna utvecklas ofta på undersidan av djupt nedsjunkna lågor som fortfarande har barken kvar. Artens ekologi behöver klarläggas bättre. I väntan på detta måste kända växtplatser säkerställas (SLU Artdatabanken, 2024).</w:t>
      </w:r>
    </w:p>
    <w:p>
      <w:r>
        <w:rPr>
          <w:b/>
        </w:rPr>
        <w:t>Bokkantlav (NT)</w:t>
      </w:r>
      <w:r>
        <w:t xml:space="preserve"> är en bra signalart för gammal bokskog med höga naturvärden där det normalt finns många andra ovanliga och rödlistade arter. Den förekommer huvudsakligen i gammal skogsmark där den föredrar halvöppna till skuggiga miljöer med hög luftfuktighet. Spara äldre bokbestånd i områden med lång kontinuitet av bok. Bokkantlav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Bokvårtlav (NT)</w:t>
      </w:r>
      <w:r>
        <w:t xml:space="preserve"> växer på barken av gamla bokar samt avenbok och är en bra signalart för skogsbestånd med höga naturvärden. Gamla bokskogar där laven förekommer i särskilt rikliga bestånd bör bevaras. Bokvårtlav är typisk art för </w:t>
      </w:r>
      <w:r>
        <w:rPr>
          <w:i/>
        </w:rPr>
        <w:t>9110 Näringsfattig bokskog, 9130 Näringsrik bokskog</w:t>
      </w:r>
      <w:r>
        <w:t xml:space="preserve"> och </w:t>
      </w:r>
      <w:r>
        <w:rPr>
          <w:i/>
        </w:rPr>
        <w:t>9160 Näringsrik ekskog</w:t>
      </w:r>
      <w:r>
        <w:t xml:space="preserve"> (SLU Artdatabanken, 2024; Nitare &amp; Skogsstyrelsen, 2019).</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 xml:space="preserve">Sydlig sotticka (NT) </w:t>
      </w:r>
      <w:r>
        <w:t>påträffas i sydliga ädellövskogar på grova liggande lövvedsstammar och stubbar. Den växer främst på bok och alm, men även lind och björk. Arten hotas av brist på lämpliga kvalitéer av död ved. Ingrepp som innebär att lågor och döda eller skadade träd tas bort missgynnar arten. En slutavverkning, skoglig gallring eller annat uttag av virke på växtplatsen som ger ett förändrat lokalklimat innebär ett direkt hot. För att säkerställa artens fortlevnad bör man se till att artens växtplatser hålls intakta, att de inte omförs till barrskog och att ny död ved tillkommer, gärna i omedelbar anslutning. Befintliga vindfällen, döende träd, torrakor och lågor lämnas intakta. Ett långsiktigt tillförsäkrande om framtida tillgång till ved är en förutsättning för artens fortlevnad (SLU Artdatabanken, 2025).</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