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entita (NT, §4), gulsparv (NT, §4), mindre hackspett (NT, §4), rödvingetrast (NT, §4), spillkråka (NT, §4), talltita (NT, §4), gröngöling (§4), grönsiska (§4), kungsfågel (§4) och skogsduva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grönfink (EN, §4), entita (NT, §4), gulsparv (NT, §4), mindre hackspett (NT, §4), rödvingetrast (NT, §4), spillkråka (NT, §4), talltita (NT, §4), gröngöling (§4), grönsiska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