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54644-2023 i Klippans kommun</w:t>
      </w:r>
    </w:p>
    <w:p>
      <w:r>
        <w:t>Detta dokument behandlar höga naturvärden i avverkningsanmälan A 54644-2023 i Klippans kommun. Denna avverkningsanmälan inkom 2023-11-05 och omfattar 9,6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spillkråka (NT, §4), havstulpanlav (S) och skogsduva (§4).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10019"/>
            <wp:docPr id="1" name="Picture 1"/>
            <wp:cNvGraphicFramePr>
              <a:graphicFrameLocks noChangeAspect="1"/>
            </wp:cNvGraphicFramePr>
            <a:graphic>
              <a:graphicData uri="http://schemas.openxmlformats.org/drawingml/2006/picture">
                <pic:pic>
                  <pic:nvPicPr>
                    <pic:cNvPr id="0" name="A 54644-2023 karta.png"/>
                    <pic:cNvPicPr/>
                  </pic:nvPicPr>
                  <pic:blipFill>
                    <a:blip r:embed="rId16"/>
                    <a:stretch>
                      <a:fillRect/>
                    </a:stretch>
                  </pic:blipFill>
                  <pic:spPr>
                    <a:xfrm>
                      <a:off x="0" y="0"/>
                      <a:ext cx="5486400" cy="29100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6218777, E 397120 i SWEREF 99 TM.</w:t>
      </w:r>
    </w:p>
    <w:p>
      <w:r>
        <w:rPr>
          <w:b/>
        </w:rPr>
        <w:t>Havstulpanlav</w:t>
      </w:r>
      <w:r>
        <w:t xml:space="preserve"> är en mycket bra signalart som överallt indikerar skogsbestånd med höga naturvärden. Den växer främst på barken av lövträd i gamla, skuggiga och fuktiga skogsmiljöer, men förekommer relativt ofta även på äldre gran i sumpskog (Nitare &amp; Skogsstyrelsen, 2019).</w:t>
      </w:r>
    </w:p>
    <w:p>
      <w:pPr>
        <w:pStyle w:val="Heading1"/>
      </w:pPr>
      <w:r>
        <w:t>Fridlysta arter</w:t>
      </w:r>
    </w:p>
    <w:p>
      <w:r>
        <w:t>Följande fridlysta arter har sina livsmiljöer och växtplatser i den avverkningsanmälda skogen: spillkråka (NT, §4) och skogsduva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