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rödvingetrast (NT, §4), spillkråka (NT, §4), talltita (NT, §4), gröngöling (§4), grönsiska (§4), kungsfågel (§4)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grönfink (EN, §4), entita (NT, §4), gulsparv (NT, §4), rödvingetrast (NT, §4), spillkråka (NT, §4), talltita (NT, §4), gröngöling (§4), grönsiska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