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2762-2024 i Klippans kommun</w:t>
      </w:r>
    </w:p>
    <w:p>
      <w:r>
        <w:t>Detta dokument behandlar höga naturvärden i avverkningsanmälan A 2762-2024 i Klippans kommun. Denna avverkningsanmälan inkom 2024-01-23 00:00:00 och omfattar 15,7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bokkantlav (NT), bokvårtlav (NT), entita (NT, §4), mindre hackspett (NT, §4), spillkråka (NT, §4), sydlig sotticka (NT), havstulpanlav (S), klippfrullania (S), platt fjädermossa (S), stor revmossa (S), västlig hakmossa (S), grönsiska (§4) och kungsfågel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4979"/>
            <wp:docPr id="1" name="Picture 1"/>
            <wp:cNvGraphicFramePr>
              <a:graphicFrameLocks noChangeAspect="1"/>
            </wp:cNvGraphicFramePr>
            <a:graphic>
              <a:graphicData uri="http://schemas.openxmlformats.org/drawingml/2006/picture">
                <pic:pic>
                  <pic:nvPicPr>
                    <pic:cNvPr id="0" name="A 2762-2024 karta.png"/>
                    <pic:cNvPicPr/>
                  </pic:nvPicPr>
                  <pic:blipFill>
                    <a:blip r:embed="rId16"/>
                    <a:stretch>
                      <a:fillRect/>
                    </a:stretch>
                  </pic:blipFill>
                  <pic:spPr>
                    <a:xfrm>
                      <a:off x="0" y="0"/>
                      <a:ext cx="5486400" cy="4314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6216495, E 384711 i SWEREF 99 TM.</w:t>
      </w:r>
    </w:p>
    <w:p>
      <w:r>
        <w:rPr>
          <w:b/>
        </w:rPr>
        <w:t>Bokkantlav (NT)</w:t>
      </w:r>
      <w:r>
        <w:t xml:space="preserve"> är en bra signalart för gammal bokskog med höga naturvärden där det normalt finns många andra ovanliga och rödlistade arter. Den förekommer huvudsakligen i gammal skogsmark där den föredrar halvöppna till skuggiga miljöer med hög luftfuktighet. Spara äldre bokbestånd i områden med lång kontinuitet av bok (SLU Artdatabanken, 2024; Nitare &amp; Skogsstyrelsen, 2019).</w:t>
      </w:r>
    </w:p>
    <w:p>
      <w:r>
        <w:rPr>
          <w:b/>
        </w:rPr>
        <w:t>Bokvårtlav (NT)</w:t>
      </w:r>
      <w:r>
        <w:t xml:space="preserve"> växer på barken av gamla bokar samt avenbok och är en bra signalart för skogsbestånd med höga naturvärden. Gamla bokskogar där laven förekommer i särskilt rikliga bestånd bör bevaras (SLU Artdatabanken, 2024; Nitare &amp; Skogsstyrelsen, 2019).</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pPr>
        <w:pStyle w:val="Heading1"/>
      </w:pPr>
      <w:r>
        <w:t>Fridlysta arter</w:t>
      </w:r>
    </w:p>
    <w:p>
      <w:r>
        <w:t>Följande fridlysta arter har sina livsmiljöer och växtplatser i den avverkningsanmälda skogen: entita (NT, §4), mindre hackspett (NT, §4), spillkråka (NT, §4),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