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entita (NT, §4), gulsparv (NT, §4), mindre hackspett (NT, §4), rödvingetrast (NT, §4), spillkråka (NT, §4), talltita (NT, §4), gröngöling (§4), grönsiska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grönfink (EN, §4), entita (NT, §4), gulsparv (NT, §4), mindre hackspett (NT, §4), rödvingetrast (NT, §4), spillkråka (NT, §4), talltita (NT, §4), gröngöling (§4), grönsiska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