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och inom 6 meter från avverkningsanmälan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