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1994-2026 i Lunds kommun</w:t>
      </w:r>
    </w:p>
    <w:p>
      <w:r>
        <w:t>Detta klagomål behandlar höga naturvärden i samrådsanmälan S 1994-2026 i Lunds kommun som inkom 2026-07-10 och omfattar 73,8 ha.</w:t>
      </w:r>
    </w:p>
    <w:p>
      <w:pPr>
        <w:pStyle w:val="Caption"/>
      </w:pPr>
      <w:r>
        <w:drawing>
          <wp:inline xmlns:a="http://schemas.openxmlformats.org/drawingml/2006/main" xmlns:pic="http://schemas.openxmlformats.org/drawingml/2006/picture">
            <wp:extent cx="5486400" cy="4670038"/>
            <wp:docPr id="1" name="Picture 1"/>
            <wp:cNvGraphicFramePr>
              <a:graphicFrameLocks noChangeAspect="1"/>
            </wp:cNvGraphicFramePr>
            <a:graphic>
              <a:graphicData uri="http://schemas.openxmlformats.org/drawingml/2006/picture">
                <pic:pic>
                  <pic:nvPicPr>
                    <pic:cNvPr id="0" name="S 1994-2026 karta.png"/>
                    <pic:cNvPicPr/>
                  </pic:nvPicPr>
                  <pic:blipFill>
                    <a:blip r:embed="rId16"/>
                    <a:stretch>
                      <a:fillRect/>
                    </a:stretch>
                  </pic:blipFill>
                  <pic:spPr>
                    <a:xfrm>
                      <a:off x="0" y="0"/>
                      <a:ext cx="5486400" cy="4670038"/>
                    </a:xfrm>
                    <a:prstGeom prst="rect"/>
                  </pic:spPr>
                </pic:pic>
              </a:graphicData>
            </a:graphic>
          </wp:inline>
        </w:drawing>
      </w:r>
    </w:p>
    <w:p>
      <w:pPr>
        <w:pStyle w:val="Caption"/>
        <w:spacing w:after="240"/>
      </w:pPr>
      <w:r>
        <w:t>Figur 1. Fyndplatser för naturvårdsarter i och inom 22 meter från samrådsanmälan. Markörer utan svart kant är placerade på fyndplatsen. Markörer med svart kant är placerade vid sidan av fyndplatsen och har ett svart streck som visar fyndplatsens exakta position. Kartans mittpunktskoordinat är N 6157905, E 401841 i SWEREF 99 TM.</w:t>
      </w:r>
    </w:p>
    <w:p>
      <w:r>
        <w:t>I och inom 22 meter från samrådsanmälan finns fynd av 9 naturvårdsarter, varav 2 är rödlistade, 4 är fridlysta, 2 är typiska (T) och 3 är signalarter (S): skogsalm (EN), sydlig sotticka (NT), guldlockmossa (S, T), rutbläcksvamp (S), strutbräken (S, T), lövgroda (§4a), större vattensalamander (§4a), svartvit flugsnappare (§4) och kopparödla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 xml:space="preserve">Sydlig sotticka (NT) </w:t>
      </w:r>
      <w:r>
        <w:t>påträffas i sydliga ädellövskogar på grova liggande lövvedsstammar och stubbar. Den växer främst på bok och alm, men även lind och björk. Arten hotas av brist på lämpliga kvalitéer av död ved. Ingrepp som innebär att lågor och döda eller skadade träd tas bort missgynnar arten. En slutavverkning, skoglig gallring eller annat uttag av virke på växtplatsen som ger ett förändrat lokalklimat innebär ett direkt hot. För att säkerställa artens fortlevnad bör man se till att artens växtplatser hålls intakta, att de inte omförs till barrskog och att ny död ved tillkommer, gärna i omedelbar anslutning. Befintliga vindfällen, döende träd, torrakor och lågor lämnas intakta. Ett långsiktigt tillförsäkrande om framtida tillgång till ved är en förutsättning för artens fortlevnad (SLU Artdatabanken, 2025).</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 xml:space="preserve">Rutbläcksvamp </w:t>
      </w:r>
      <w:r>
        <w:t>är en värmeälskande förnasvamp som växer i gamla och örtrika ädellövskogar på kalkrik mark, särskilt ängsbokskog. Arten signalerar skogsmiljöer med höga naturvärden och förekommer ofta tillsammans med många ovanliga och rödlistade arter. Utanför Skåne och Halland är den mycket krävande i sitt val av växtplats och påträffas nästan enbart i exklusiva ädellövskogar på kalk (Nitare &amp; Skogsstyrelsen, 2019).</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p>
      <w:r>
        <w:rPr>
          <w:b/>
        </w:rPr>
        <w:t xml:space="preserve">Lövgroda (§4a) </w:t>
      </w:r>
      <w:r>
        <w:t>är strikt skyddad enligt EU:s art- och habitatdirektiv vilket innebär att hela dess livsmiljö ska bevaras. Lövgrodan, precis som de andra groddjuren i Sverige, lever i större eller mindre populationer vars storlek ofta begränsas av mängden lämpliga lekvatten och landmiljöer inom spridningsavstånd. Lövskog och/eller lövbuskmarker måste finnas i närheten av lekvattnet (SLU Artdatabanken, 2024).</w:t>
      </w:r>
    </w:p>
    <w:p>
      <w:r>
        <w:rPr>
          <w:b/>
        </w:rPr>
        <w:t xml:space="preserve">Större vattensalamander (§4a) </w:t>
      </w:r>
      <w:r>
        <w:t>är strikt skyddad enligt EU:s art- och habitatdirektiv vilket innebär att hela dess livsmiljö ska bevaras.  Med undantag från lekperioden lever den större vattensalamandern på land och i skogslandskapet hittar man den framför allt i äldre skog med stor strukturell variation och gott om död ved där djuren håller till under murkna trädstammar och stubbar, i smågnagargångar, under mossbeklädda stenar och i blockterräng. Vuxna salamandrar har konstaterats uppehålla sig inom 300 meter från lekvattnet och finska studier antyder att det behövs åtminstone ett hektar lämplig landmiljö nära lekvattnet.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9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Lövgroda – ekologi samt krav på livsmiljön</w:t>
      </w:r>
    </w:p>
    <w:p>
      <w:r>
        <w:t>Lövgroda (§4a)</w:t>
      </w:r>
      <w:r>
        <w:rPr>
          <w:b/>
        </w:rPr>
        <w:t xml:space="preserve"> </w:t>
      </w:r>
      <w:r>
        <w:t>är strikt skyddad enligt EU:s art- och habitatdirektiv vilket innebär att hela dess livsmiljö ska bevaras. Lövgrodan, precis som de andra groddjuren i Sverige, lever i större eller mindre populationer vars storlek ofta begränsas av mängden lämpliga lekvatten och landmiljöer inom spridningsavstånd. Lövskog och/eller lövbuskmarker måste finnas i närheten av lekvattnet (SLU Artdatabanken, 2024).</w:t>
      </w:r>
    </w:p>
    <w:p>
      <w:r>
        <w:t>De mest betydelsefulla biotoperna för arten i Skåne utgörs av naturbetesmarker med en mosaik av högörtsängar, öppen gräsmark, träd, buskage och dungar. Lövskogsbrynens buskridåer av hassel, hagtorn, slån, nypon, olvon, fläder och björnbär spelar en viktig roll efter lekperioden. I sydvända bryn kan lövgrodorna finna varma och skyddade miljöer ända till långt in på hösten. Lekvatten med omgivande naturbetesmarker, lövbusk- och lövträdsbestånd bör skyddas och anläggning av stora fiskfria våtmarker inom lämpliga landmiljöer är positivt för arten (SLU Artdatabanken, 2024).</w:t>
      </w:r>
    </w:p>
    <w:p>
      <w:pPr>
        <w:pStyle w:val="Heading2"/>
      </w:pPr>
      <w:r>
        <w:t>Referenser – lövgroda</w:t>
      </w:r>
    </w:p>
    <w:p>
      <w:r>
        <w:t>SLU Artdatabanken, 2024.</w:t>
      </w:r>
      <w:r>
        <w:rPr>
          <w:i/>
        </w:rPr>
        <w:t xml:space="preserve">  Artfakta: lövgroda (Hyla arborea). </w:t>
      </w:r>
      <w:r>
        <w:t>https://artfakta.se/taxa/100069</w:t>
      </w:r>
    </w:p>
    <w:p>
      <w:pPr>
        <w:pStyle w:val="Heading1"/>
      </w:pPr>
      <w:r>
        <w:t>Större vattensalamander – ekologi samt krav på livsmiljön</w:t>
      </w:r>
    </w:p>
    <w:p>
      <w:r>
        <w:t>Större vattensalamander (§4a) är strikt skyddad enligt EU:s art- och habitatdirektiv vilket innebär att hela dess livsmiljö ska bevaras. Bevarandestatusen inom habitatdirektivet är dålig med negativ trend och arten omfattas av åtgärdsprogram för hotade arter (ÅGP). Arten förekommer i Götaland, större delen av Svealand, samt sparsamt i södra Norrlands kustland till södra Ångermanland. Med undantag från lekperioden lever den större vattensalamandern på land. I skogslandskapet hittar man den framför allt i äldre skog med stor strukturell variation och gott om död ved där djuren håller till under murkna trädstammar och stubbar, i smågnagargångar, under mossbeklädda stenar och i blockterräng, vanligen i fuktig huvudsakligen lövdominerad skog. I bl.a. mellersta och norra Värmlands skogsbygder, samt möjligen även i Bergslagen och Dalarna, förekommer arten i flera dystrofa tjärnar som delvis omges av vitmossegungfly samt äldre granblandskog. Större vattensalamander är känslig för uttorkning och undviker nya hyggen och andra öppna och torra miljöer, liksom tät ungskog utan fukthållande markskikt.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t>Starka populationer av större vattensalamander hittar man främst i ”småvattenlandskap”, alltså områden med en mosaik av lämpliga lekvatten och närliggande lämpliga landmiljöer. Det finns dock många exempel på isolerade lekvatten i skogstjärnar som hyser livskraftiga bestånd. Vuxna salamandrar har konstaterats uppehålla sig inom 300 meter från lekvattnet, men förflyttningar längre än en kilometer har noterats. Sannolikt kan framförallt unga individer sprida sig längre sträckor men kunskapen om deras spridningspotential är liten. Radiosändarstudier i Sverige och Frankrike har visat att djuren tycks vara mycket specifika i val av landmiljö samt att de har relativt små hemområden och vanligtvis inte vandrar så långt från sin hemdamm. En majoritet av individerna i en population tycks vandra mellan 10–100 m från det småvatten de reproducerar sig i, detta under förutsättning att lämpliga landmiljöer finns inom detta avstånd. Finska studier antyder att det behövs åtminstone ett hektar lämplig landmiljö nära lekvattnet (SLU Artdatabanken, 2024; Skogsstyrelsen, 2016; Malmgren, 2007).</w:t>
      </w:r>
    </w:p>
    <w:p>
      <w:r>
        <w:t>Den större vattensalamandern har under de senaste decennierna försvunnit från många lokaler utan att orsakerna därtill är exakt kända. Habitatförstöring anses utgöra den främsta orsaken till den observerade tendensen. Sannolikt utgör artens starka beroende av ett komplext småvattenlandskap – rika akvatiska miljöer sammanbundna med äldre skog via goda spridningsvägar – en stor del av förklaringen. Småvatten och lövskog med stor mängd död ved hör till de biotoper som i högst frekvens omdanats i 1900-talets landskapsförändring. Områden där båda dessa biotoper finns samlade är därför få. Dagens skogsbruk med korta omloppstider och mer ensartade bestånd leder till såväl minskad tillgång på lämpliga landmiljöer som försämrade spridningsmöjligheter. Bortröjning och bortgallring av lövträd, överföring av lövskog till barrskog, och bortrensning av död ved och olika former av markberedning påverkar kvaliteten på landmiljöerna negativt (SLU Artdatabanken, 2024; Skogsstyrelsen, 2016; Malmgren, 2007).</w:t>
      </w:r>
    </w:p>
    <w:p>
      <w:r>
        <w:t>Mycket pekar på att den större vattensalamandern kräver fungerande metapopulationsdynamik för långsiktig överlevnad i ett givet område. Vidare kan kravet på stabila landmiljöer vara ytterligare en faktor som gör arten särskilt känslig för störningar, exempelvis avverkning, i denna miljö. Som en följd av nämnda negativa faktorer hotas arten av fragmenteringseffekter. Dess spridningsförmåga är begränsad och om avstånden mellan lämpliga biotoper (och lekvatten) blir för stora isoleras populationerna med stor risk för lokalt utdöende som följd av slumpmässiga, miljöbetingade eller demografiska faktorer. I England har föreslagits att dammtätheten bör vara minst 0,7 dammar/km2 för att arten ska kunna sprida sig i tillräcklig utsträckning mellan lekvattnen. Goda förutsättningar för långsiktig överlevnad nås dock först vid dammtätheter närmare 4 dammar/km2, vilket studier från både England och Frankrike visat. (SLU Artdatabanken, 2024; Malmgren, 2007).</w:t>
      </w:r>
    </w:p>
    <w:p>
      <w:r>
        <w:t>Arten är beroende av förstärkt hänsyn. Fokus ska ligga på att bevara solbelysta småvatten för lek och fuktiga skogspartier för födosök och övervintring. Sväm- och sumpskog runt lekvattnen ska alltid sparas, liksom lämpliga födosöksmiljöer. För att skydda landmiljöerna och minska risken för negativ påverkan på vattenmiljön bör en tillräckligt bred kantzon med skog sparas runt lekvattnet. Det är viktigt att säkerställa att djuren obehindrat kan röra sig mellan lekvattnet och lämpliga födosöks- och uppväxtmiljöer. För att undvika att lokala populationer isoleras är det viktigt att inte skära av spridningsvägar och försvåra kontakt och spridning mellan befintliga och potentiella lekvatten. (Skogsstyrelsen, 2016; SLU Artdatabanken, 2024; Malmgren, 2007).</w:t>
      </w:r>
    </w:p>
    <w:p>
      <w:r>
        <w:t>Förekomster som befinns vara isolerade från andra populationer bör ges såväl skydd som omedelbara skötselåtgärder där särskild hänsyn tas till arten. Områden med lämpliga skogsområden och många småvatten där reproduktion äger rum, d.v.s. där många förekomster är samlade i ett begränsat område (metapopulationer), är av särskilt stort bevarandevärde och bör ges prioriterat skydd. Sannolikt har den större vattensalamanderns känslighet för störningar i dess miljöer underskattats, och om inte situationen förbättras kan artens hotstatus inom kort behöva uppgraderas. (SLU Artdatabanken, 2024).</w:t>
      </w:r>
    </w:p>
    <w:p>
      <w:pPr>
        <w:pStyle w:val="Heading2"/>
      </w:pPr>
      <w:r>
        <w:t>Referenser – större vattensalamander</w:t>
      </w:r>
    </w:p>
    <w:p>
      <w:r>
        <w:t xml:space="preserve">Malmgren, J., 2007. </w:t>
      </w:r>
      <w:r>
        <w:rPr>
          <w:i/>
        </w:rPr>
        <w:t>Åtgärdsprogram för bevarande av större vattensalamander och dess livsmiljöer (Triturus cristatus).</w:t>
      </w:r>
      <w:r>
        <w:t xml:space="preserve"> Rapport: 5636.  Naturvårdsverket. https://assets.artdatabanken.se/pdf/59197.pdf</w:t>
      </w:r>
    </w:p>
    <w:p>
      <w:r>
        <w:t xml:space="preserve">Skogsstyrelsen, 2016. </w:t>
      </w:r>
      <w:r>
        <w:rPr>
          <w:i/>
        </w:rPr>
        <w:t xml:space="preserve">Vägledning för hänsyn till större vattensalamander. </w:t>
      </w:r>
      <w:r>
        <w:t>Vägledningar och kunskapsstöd artskydd - Skogsstyrelsen</w:t>
      </w:r>
    </w:p>
    <w:p>
      <w:r>
        <w:t>SLU Artdatabanken, 2024.</w:t>
      </w:r>
      <w:r>
        <w:rPr>
          <w:i/>
        </w:rPr>
        <w:t xml:space="preserve">  Artfakta: större vattensalamander (Triturus cristatus). </w:t>
      </w:r>
      <w:r>
        <w:t>https://artfakta.se/taxa/100141</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