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4816-2025 i Lunds kommun</w:t>
      </w:r>
    </w:p>
    <w:p>
      <w:r>
        <w:t>Detta klagomål behandlar höga naturvärden i avverkningsanmälan A 4816-2025 i Lunds kommun som inkom 2025-01-31 och omfattar 7,7 ha.</w:t>
      </w:r>
    </w:p>
    <w:p>
      <w:pPr>
        <w:pStyle w:val="Caption"/>
      </w:pPr>
      <w:r>
        <w:drawing>
          <wp:inline xmlns:a="http://schemas.openxmlformats.org/drawingml/2006/main" xmlns:pic="http://schemas.openxmlformats.org/drawingml/2006/picture">
            <wp:extent cx="5486400" cy="4768645"/>
            <wp:docPr id="1" name="Picture 1"/>
            <wp:cNvGraphicFramePr>
              <a:graphicFrameLocks noChangeAspect="1"/>
            </wp:cNvGraphicFramePr>
            <a:graphic>
              <a:graphicData uri="http://schemas.openxmlformats.org/drawingml/2006/picture">
                <pic:pic>
                  <pic:nvPicPr>
                    <pic:cNvPr id="0" name="A 4816-2025 karta.png"/>
                    <pic:cNvPicPr/>
                  </pic:nvPicPr>
                  <pic:blipFill>
                    <a:blip r:embed="rId16"/>
                    <a:stretch>
                      <a:fillRect/>
                    </a:stretch>
                  </pic:blipFill>
                  <pic:spPr>
                    <a:xfrm>
                      <a:off x="0" y="0"/>
                      <a:ext cx="5486400" cy="476864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6160376, E 403688 i SWEREF 99 TM.</w:t>
      </w:r>
    </w:p>
    <w:p>
      <w:r>
        <w:t>I och inom 19 meter från avverkningsanmälan finns fynd av 4 naturvårdsarter, varav 2 är rödlistade, 2 är typiska (T) och 2 är signalarter (S): skogsalm (EN), sydlig sotticka (NT), guldlockmossa (S, T) och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