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26984-2022 i Lunds kommun</w:t>
      </w:r>
    </w:p>
    <w:p>
      <w:r>
        <w:t>Detta dokument behandlar höga naturvärden i avverkningsanmälan A 26984-2022 i Lunds kommun som inkom 2022-06-28 och omfattar 2,9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099654" cy="5688000"/>
            <wp:docPr id="1" name="Picture 1"/>
            <wp:cNvGraphicFramePr>
              <a:graphicFrameLocks noChangeAspect="1"/>
            </wp:cNvGraphicFramePr>
            <a:graphic>
              <a:graphicData uri="http://schemas.openxmlformats.org/drawingml/2006/picture">
                <pic:pic>
                  <pic:nvPicPr>
                    <pic:cNvPr id="0" name="A 26984-2022 karta.png"/>
                    <pic:cNvPicPr/>
                  </pic:nvPicPr>
                  <pic:blipFill>
                    <a:blip r:embed="rId16"/>
                    <a:stretch>
                      <a:fillRect/>
                    </a:stretch>
                  </pic:blipFill>
                  <pic:spPr>
                    <a:xfrm>
                      <a:off x="0" y="0"/>
                      <a:ext cx="5099654" cy="568800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6162062, E 396384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lökgroda (NT, §4a) och strandpadda (NT,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lökgroda (NT, §4a) och strandpadda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