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1994-2026 i Lunds kommun</w:t>
      </w:r>
    </w:p>
    <w:p>
      <w:r>
        <w:t>Denna tillsynsbegäran behandlar höga naturvärden i samrådsanmälan S 1994-2026 i Lunds kommun som inkom 2026-07-10 och omfattar 73,8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S 1994-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6157905, E 401841 i SWEREF 99 TM.</w:t>
      </w:r>
    </w:p>
    <w:p>
      <w:r>
        <w:t>I och inom 22 meter från samrådsanmälan finns fynd av 9 naturvårdsarter, varav 2 är rödlistade, 4 är fridlysta, 2 är typiska (T) och 3 är signalarter (S): skogsalm (EN), sydlig sotticka (NT), guldlockmossa (S, T), rutbläcksvamp (S), strutbräken (S, T), lövgroda (§4a), större vattensalamander (§4a), svartvit flugsnappare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