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2231-2022 i Lunds kommun</w:t>
      </w:r>
    </w:p>
    <w:p>
      <w:r>
        <w:t>Detta klagomål behandlar höga naturvärden i samrådsanmälan S 2231-2022 i Lunds kommun som inkom 2022-04-28 och omfattar 0,2 ha.</w:t>
      </w:r>
    </w:p>
    <w:p>
      <w:pPr>
        <w:pStyle w:val="Caption"/>
      </w:pPr>
      <w:r>
        <w:drawing>
          <wp:inline xmlns:a="http://schemas.openxmlformats.org/drawingml/2006/main" xmlns:pic="http://schemas.openxmlformats.org/drawingml/2006/picture">
            <wp:extent cx="5486400" cy="4950958"/>
            <wp:docPr id="1" name="Picture 1"/>
            <wp:cNvGraphicFramePr>
              <a:graphicFrameLocks noChangeAspect="1"/>
            </wp:cNvGraphicFramePr>
            <a:graphic>
              <a:graphicData uri="http://schemas.openxmlformats.org/drawingml/2006/picture">
                <pic:pic>
                  <pic:nvPicPr>
                    <pic:cNvPr id="0" name="S 2231-2022 karta.png"/>
                    <pic:cNvPicPr/>
                  </pic:nvPicPr>
                  <pic:blipFill>
                    <a:blip r:embed="rId16"/>
                    <a:stretch>
                      <a:fillRect/>
                    </a:stretch>
                  </pic:blipFill>
                  <pic:spPr>
                    <a:xfrm>
                      <a:off x="0" y="0"/>
                      <a:ext cx="5486400" cy="495095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6167383, E 400342 i SWEREF 99 TM.</w:t>
      </w:r>
    </w:p>
    <w:p>
      <w:r>
        <w:t>I samrådsanmälan finns fynd av 1 naturvårdsarter, varav 1 är rödlistad: bokblombock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Bokblombock (VU)</w:t>
      </w:r>
      <w:r>
        <w:t xml:space="preserve"> är en skalbagge vars larvutveckling sker i torr, hård solexponerad lövträdsved, främst av bok, men även avenbok, ek, alm, klibbal, björk och hassel. Främsta hotet är bristen på lämplig bokved, vilket framför allt beror på att många bokskogar avverkats och ofta ersatts med granplanteringar. Boken missgynnas även genom att den tas bort vid röjning och gallring. Uttag av bokved som hemved eller biobränsle bidrar till denna negativa utveckling. Gammal bokskog bör sparas, och inte avverkas eller gallras. I blandskogar med inslag av bok bör detta trädslag sparas selektivt vid olika skogsbruksåtgärder. Bokblombock ingår i ett åtgärdsprogram för hotade arter (ÅGP) (SLU Artdatabanken, 2024; Malmqvist et al,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