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9899-2021 i Lunds kommun</w:t>
      </w:r>
    </w:p>
    <w:p>
      <w:r>
        <w:t>Denna tillsynsbegäran behandlar höga naturvärden i samrådsanmälan S 9899-2021 i Lunds kommun som inkom 2021-12-03 och omfattar 54,6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S 9899-2021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6172906, E 403601 i SWEREF 99 TM.</w:t>
      </w:r>
    </w:p>
    <w:p>
      <w:r>
        <w:t>I och inom 25 meter från samrådsanmälan finns fynd av 33 naturvårdsarter, varav 15 är rödlistade, 16 är fridlysta, 8 är typiska (T) och 7 är signalarter (S): naverlönn (CR), korndådra (EN), lundäxing (EN), skogsalm (EN), brunfläckig pärlemorfjäril (VU), revig blodrot (VU), åkermadd (VU), desmeknopp (NT), entita (NT, T, §4), grönsångare (NT, §4), gulsparv (NT, §4), järnsparv (NT, §4), mjukdån (NT), stiftklotterlav (NT, T), sydlig blekspik (NT, T), bokoxe (S, T), grå skärelav (S), guldlockmossa (S, T), hässleklocka (S, T), igelkottsröksvamp (S), skogsknipprot (S, T, §8), stor häxört (S), spillkråka (T, §4), kungsfågel (§4), större vattensalamander (§4a), trädlärka (§4), åkergroda (§4a), mindre vattensalamander (§6), skogsödla (§6), vanlig groda (§6), vanlig padda (§6), ätlig groda (§6) och klotullört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Lundäxing (EN)</w:t>
      </w:r>
      <w:r>
        <w:t xml:space="preserve"> är en starkt hotad art som förekommer naturligt i friska ädellövskogar, främst bokskogar, i Skåne och Halland. I resten av landet hittas den i parkmiljöer, äldre trädgårdar och sekundärt i lövskog. Lundäxingen har minskat kraftigt, sannolikt till följd av avverkning av ädellövskogar. Detta har lett till habitatförlust när lövskogarna ersatts med barrträdsplanteringar. Förekomster bör tas hänsyn till genom bevarande och återskapande av ädellövskogar (SLU Artdatabanken, 2026).</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Sydlig blekspik (NT)</w:t>
      </w:r>
      <w:r>
        <w:t xml:space="preserve"> förekommer i gammal bokskog, på hamlade träd, vårdträd och på gamla alléträd. Sydlig blekspik hotas av att gamla innanrötade träd i skogsmark blir allt sällsyntare och av att antalet hamlade träd minskar. Gamla bokskogar och hamlade ädellövträd nyskapas i mycket begränsad omfattning. Förekomster på alm hotas av almsjukan. Alla blekspikar av släktet </w:t>
      </w:r>
      <w:r>
        <w:rPr>
          <w:i/>
        </w:rPr>
        <w:t>Sclerophora</w:t>
      </w:r>
      <w:r>
        <w:t xml:space="preserve"> ​​​​är utmärkta signalarter för gamla träd och skogsområden med höga naturvärden. Sydlig blekspik är typisk art för </w:t>
      </w:r>
      <w:r>
        <w:rPr>
          <w:i/>
        </w:rPr>
        <w:t xml:space="preserve">9020 Nordlig ädellövskog, 9070 Trädklädd betesmark, 9180 Ädellövskog i branter </w:t>
      </w:r>
      <w:r>
        <w:t xml:space="preserve">och </w:t>
      </w:r>
      <w:r>
        <w:rPr>
          <w:i/>
        </w:rPr>
        <w:t>6530 Lövängar</w:t>
      </w:r>
      <w:r>
        <w:t xml:space="preserve"> (SLU Artdatabanken, 2026; Nitare &amp; Skogsstyrelsen, 2019).</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entita (NT, T, §4), stiftklotterlav (NT, T), sydlig blekspik (NT, T), bokoxe (S, T), guldlockmossa (S, T), hässleklocka (S, T), skogsknipprot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