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31764-2023 i Lunds kommun</w:t>
      </w:r>
    </w:p>
    <w:p>
      <w:r>
        <w:t>Detta klagomål behandlar höga naturvärden i avverkningsanmälan A 31764-2023 i Lunds kommun som inkom 2023-07-11 och omfattar 1,2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1764-2023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6160811, E 398323 i SWEREF 99 TM.</w:t>
      </w:r>
    </w:p>
    <w:p>
      <w:r>
        <w:t>I och inom 21 meter från avverkningsanmälan finns fynd av 4 naturvårdsarter, varav 3 är rödlistade och 1 är fridlyst: rosenporing (NT), sydlig sotticka (NT), skorpdyna (DD)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Rosenporing (NT) </w:t>
      </w:r>
      <w:r>
        <w:t>är en nedbrytare på stammar och grenar samt murken ved av olika lövträdslag i ädellövskog, blandskog och park, företrädesvis grova äldre träd i rika lövskogsmiljöer. Skogar där arten förekommer har i regel höga naturvärden och rosenporingen är en god indikator på detta värde. Arten hotas av bristen på grova lövträdslågor. Avverkning av lövskog samt överdriven städning av lövbestånd och naturparker kan vara ett annat hot. Områden där rosenporing förekommer bör inte utnyttjas för skogsbruk (SLU Artdatabanken, 2025).</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Skorpdyna (DD)</w:t>
      </w:r>
      <w:r>
        <w:t xml:space="preserve"> är en nedbrytare på ved av bok och hägg i bokskog och annan ädellövskog. Hotbild oklar men uppenbarligen en sällsynt art i Sverige. Arten bör eftersökas och om den påträffas bör lokalerna undantas från skogsbruk. Faktaunderlaget bedöms vara otillräckligt för att avgöra vilken av de olika rödlistningskategorierna som är mest trolig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