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53008-2019 i Helsingborgs kommun</w:t>
      </w:r>
    </w:p>
    <w:p>
      <w:r>
        <w:t>Detta dokument behandlar höga naturvärden i avverkningsanmälan A 53008-2019 i Helsingborgs kommun. Denna avverkningsanmälan inkom 2019-10-09 och omfattar 31,7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53 naturvårdsarter hittats: skogsalm (CR), ask (EN), blåsvart brunbagge (EN), gråtrut (VU, §4), skillerticka (VU), bokvårtlav (NT), dvärgklokrypare (NT), dvärgstumpbagge (NT), fyrfläckad vedsvampbagge (NT), getinglik svampmygga (NT), gråbandad trägnagare (NT), gulsparv (NT, §4), havsörn (NT, §4), hålskenknäppare (NT), kråka (NT, §4), matt pricklav (NT), orangepudrad klotterlav (NT), Plectophloeus nubigena (NT), skogsveronika (NT), skånebjörnbär (NT), stiftklotterlav (NT), Synchita variegata (NT), Trinodes hirtus (NT), tvåfärgad barksvartbagge (NT), vasstandad trädbasbagge (NT), violettgrå porlav (NT), blanksvart trämyra (S), blåmossa (S), grå skärelav (S), guldlockmossa (S), gulnål (S), havstulpanlav (S), hässleklocka (S), lundvårlök (S), noshornsoxe (S), platt fjädermossa (S), robust tickgnagare (S), skogsbräsma (S), skuggsprötmossa (S), stor häxört (S), stubbspretmossa (S), trubbfjädermossa (S), tvåblad (S, §8), västlig hakmossa (S), dvärgpipistrell (§4a), större brunfladdermus (§4a), åkergroda (§4a), vanlig groda (§6), vanlig padda (§6), getlav (§8), grönvit nattviol (§8), sankt pers nycklar (§8) och blåsippa (§9). Av dessa är 26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12087"/>
            <wp:docPr id="1" name="Picture 1"/>
            <wp:cNvGraphicFramePr>
              <a:graphicFrameLocks noChangeAspect="1"/>
            </wp:cNvGraphicFramePr>
            <a:graphic>
              <a:graphicData uri="http://schemas.openxmlformats.org/drawingml/2006/picture">
                <pic:pic>
                  <pic:nvPicPr>
                    <pic:cNvPr id="0" name="A 53008-2019 karta.png"/>
                    <pic:cNvPicPr/>
                  </pic:nvPicPr>
                  <pic:blipFill>
                    <a:blip r:embed="rId16"/>
                    <a:stretch>
                      <a:fillRect/>
                    </a:stretch>
                  </pic:blipFill>
                  <pic:spPr>
                    <a:xfrm>
                      <a:off x="0" y="0"/>
                      <a:ext cx="5486400" cy="36120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6224861, E 359634 i SWEREF 99 TM.</w:t>
      </w:r>
    </w:p>
    <w:p>
      <w:pPr>
        <w:pStyle w:val="Heading1"/>
      </w:pPr>
      <w:r>
        <w:t>Fridlysta arter</w:t>
      </w:r>
    </w:p>
    <w:p>
      <w:r>
        <w:t>Följande fridlysta arter har sina livsmiljöer och växtplatser i den avverkningsanmälda skogen: gråtrut (VU, §4), gulsparv (NT, §4), havsörn (NT, §4), kråka (NT, §4), tvåblad (S, §8), dvärgpipistrell (§4a), större brunfladdermus (§4a), åkergroda (§4a), vanlig groda (§6), vanlig padda (§6), getlav (§8), grönvit nattviol (§8), sankt pers nycklar (§8)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44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53 naturvårdsarter varav 26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