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13467-2023 i Helsingborgs kommun</w:t>
      </w:r>
    </w:p>
    <w:p>
      <w:r>
        <w:t>Denna tillsynsbegäran behandlar höga naturvärden i avverkningsanmälan A 13467-2023 i Helsingborgs kommun som inkom 2023-03-20 och omfattar 2,3 ha.</w:t>
      </w:r>
    </w:p>
    <w:p>
      <w:pPr>
        <w:pStyle w:val="Caption"/>
      </w:pPr>
      <w:r>
        <w:drawing>
          <wp:inline xmlns:a="http://schemas.openxmlformats.org/drawingml/2006/main" xmlns:pic="http://schemas.openxmlformats.org/drawingml/2006/picture">
            <wp:extent cx="5318276" cy="5724000"/>
            <wp:docPr id="1" name="Picture 1"/>
            <wp:cNvGraphicFramePr>
              <a:graphicFrameLocks noChangeAspect="1"/>
            </wp:cNvGraphicFramePr>
            <a:graphic>
              <a:graphicData uri="http://schemas.openxmlformats.org/drawingml/2006/picture">
                <pic:pic>
                  <pic:nvPicPr>
                    <pic:cNvPr id="0" name="A 13467-2023 karta.png"/>
                    <pic:cNvPicPr/>
                  </pic:nvPicPr>
                  <pic:blipFill>
                    <a:blip r:embed="rId16"/>
                    <a:stretch>
                      <a:fillRect/>
                    </a:stretch>
                  </pic:blipFill>
                  <pic:spPr>
                    <a:xfrm>
                      <a:off x="0" y="0"/>
                      <a:ext cx="53182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6227403, E 362270 i SWEREF 99 TM.</w:t>
      </w:r>
    </w:p>
    <w:p>
      <w:r>
        <w:t>I avverkningsanmälan finns fynd av 4 naturvårdsarter, varav 1 är rödlistad, 2 är fridlysta, 1 är typisk (T) och 2 är signalarter (S): gulsparv (NT, §4), grå skärelav (S), gulnål (S, T)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