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53008-2019 i Helsingborgs kommun</w:t>
      </w:r>
    </w:p>
    <w:p>
      <w:r>
        <w:t>Detta dokument behandlar höga naturvärden i avverkningsanmälan A 53008-2019 i Helsingborgs kommun. Denna avverkningsanmälan inkom 2019-10-09 och omfattar 31,7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56 naturvårdsarter hittats: skogsalm (CR), ask (EN), blåsvart brunbagge (EN), gråtrut (VU, §4), klosterlav (VU), skillerticka (VU), bokvårtlav (NT), dvärgklokrypare (NT), dvärgstumpbagge (NT), fyrfläckad vedsvampbagge (NT), getinglik svampmygga (NT), gråbandad trägnagare (NT), gulsparv (NT, §4), havsörn (NT, §4), hålskenknäppare (NT), koralltaggsvamp (NT), kråka (NT, §4), matt pricklav (NT), orangepudrad klotterlav (NT), Plectophloeus nubigena (NT), skogsveronika (NT), skånebjörnbär (NT), stiftklotterlav (NT), Synchita variegata (NT), Trinodes hirtus (NT), tvåfärgad barksvartbagge (NT), vasstandad trädbasbagge (NT), violettgrå porlav (NT), blanksvart trämyra (S), blåmossa (S), grå skärelav (S), guldlockmossa (S), gulnål (S), havstulpanlav (S), hässleklocka (S), lundvårlök (S), lönnlav (S), noshornsoxe (S), platt fjädermossa (S), robust tickgnagare (S), skogsbräsma (S), skuggsprötmossa (S), stor häxört (S), stubbspretmossa (S), trubbfjädermossa (S), tvåblad (S, §8), västlig hakmossa (S), dvärgpipistrell (§4a), större brunfladdermus (§4a), åkergroda (§4a), vanlig groda (§6), vanlig padda (§6), getlav (§8), grönvit nattviol (§8), sankt pers nycklar (§8) och blåsippa (§9). Av dessa är 28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087"/>
            <wp:docPr id="1" name="Picture 1"/>
            <wp:cNvGraphicFramePr>
              <a:graphicFrameLocks noChangeAspect="1"/>
            </wp:cNvGraphicFramePr>
            <a:graphic>
              <a:graphicData uri="http://schemas.openxmlformats.org/drawingml/2006/picture">
                <pic:pic>
                  <pic:nvPicPr>
                    <pic:cNvPr id="0" name="A 53008-2019 karta.png"/>
                    <pic:cNvPicPr/>
                  </pic:nvPicPr>
                  <pic:blipFill>
                    <a:blip r:embed="rId16"/>
                    <a:stretch>
                      <a:fillRect/>
                    </a:stretch>
                  </pic:blipFill>
                  <pic:spPr>
                    <a:xfrm>
                      <a:off x="0" y="0"/>
                      <a:ext cx="5486400" cy="361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6224861, E 359634 i SWEREF 99 TM.</w:t>
      </w:r>
    </w:p>
    <w:p>
      <w:r>
        <w:rPr>
          <w:b/>
        </w:rPr>
        <w:t>Blåsvart brunbagge (EN)</w:t>
      </w:r>
      <w:r>
        <w:t xml:space="preserve"> är en starkt hotad skalbagge vars larvutveckling sker i starkt vitrötad lövträdsved, främst i döda gren- och stamdelar av bok men även i ask och rönn. Arten hotas främst av bristen på svampangripen, död ved i våra sydsvenska lövträdsbestånd. Detta gäller främst i bokskogarna. Populationerna är normalt mycket låga och utbredningen ytterst begränsad, varvid risken är stor att kontinuitetsbrott i tillgången på lämplig ved slår ut arten på lokalerna. Allt måste göras för att spara mer död ved i våra sydsvenska lövträdsbestånd, i synnerhet i bokskogarna (SLU Artdatabanken, 2024).</w:t>
      </w:r>
    </w:p>
    <w:p>
      <w:r>
        <w:rPr>
          <w:b/>
        </w:rPr>
        <w:t>Bokvårtlav (NT)</w:t>
      </w:r>
      <w:r>
        <w:t xml:space="preserve"> växer på barken av gamla bokar samt avenbok och är en bra signalart för skogsbestånd med höga naturvärden. Gamla bokskogar där laven förekommer i särskilt rikliga bestånd bör bevaras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 den postglaciala värmetiden (stenålder-bronsåler) (Nitare &amp; Skogsstyrelsen, 2019).</w:t>
      </w:r>
    </w:p>
    <w:p>
      <w:r>
        <w:rPr>
          <w:b/>
        </w:rPr>
        <w:t>Matt pricklav (NT)</w:t>
      </w:r>
      <w:r>
        <w:t xml:space="preserve"> växer framför allt på grov och hård bark av gamla jätteekar och förekommer enbart på gamla träd inom områden med jätteträd. Lokalerna bör skyddas (SLU Artdatabanken, 2024; Nitare &amp; Skogsstyrelsen, 2019).</w:t>
      </w:r>
    </w:p>
    <w:p>
      <w:r>
        <w:rPr>
          <w:b/>
        </w:rPr>
        <w:t xml:space="preserve">Skogsveronika (NT) </w:t>
      </w:r>
      <w:r>
        <w:t>visar på genuina, rika ädellövskogar som under långa perioder varit trädbevuxna och länge bibehållit hög mark- och luftfuktighet. Samtliga förekomster indikerar exklusiva miljöer med höga naturvärden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gråtrut (VU, §4), gulsparv (NT, §4), havsörn (NT, §4), kråka (NT, §4), tvåblad (S, §8), dvärgpipistrell (§4a), större brunfladdermus (§4a), åkergroda (§4a), vanlig groda (§6), vanlig padda (§6), getlav (§8), grönvit nattviol (§8), sankt pers 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 xml:space="preserve">Getlav (§8) </w:t>
      </w:r>
      <w:r>
        <w:t>växer på sten och på bark av al, rönn, ek, ask och alm, nästan alltid nära sjöar eller hav. Den anses ljusälskande men förekommer såväl på klippor vid vägar som på trädstammar i hagar eller i sluten lövskog. I Östergötland växer den på klippor nära sjöar, huvudsakligen omgiven av barrträd. Förändringar i miljön på eller i omedelbar närhet av lokaler utgör ett hot och lokaler utan skydd bör skyddas. Arten är fridlyst enligt 8 § artskyddsförordningen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