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57 naturvårdsarter hittats: skogsalm (CR), ask (EN), blåsvart brunbagge (EN), gråtrut (VU, §4), klosterlav (VU),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lönnlav (S), noshornsoxe (S), platt fjädermossa (S), robust tickgnagare (S), skogsbräsma (S), skuggsprötmossa (S), stor häxört (S), stubbspretmossa (S), trubbfjädermossa (S), tvåblad (S, §8), västlig hakmossa (S), dvärgpipistrell (§4a), järnsparv (§4), större brunfladdermus (§4a), åkergroda (§4a), vanlig groda (§6), vanlig padda (§6), getlav (§8), grönvit nattviol (§8), sankt pers nycklar (§8) och blåsippa (§9).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Blåsvart brunbagge (EN)</w:t>
      </w:r>
      <w:r>
        <w:t xml:space="preserve"> är en starkt hotad skalbagge vars larvutveckling sker i starkt vitrötad lövträdsved, främst i döda gren- och stamdelar av bok men även i ask och rönn. Arten hotas främst av bristen på svampangripen, död ved i våra sydsvenska lövträdsbestånd. Detta gäller främst i bokskogarna. Populationerna är normalt mycket låga och utbredningen ytterst begränsad, varvid risken är stor att kontinuitetsbrott i tillgången på lämplig ved slår ut arten på lokalerna. Allt måste göras för att spara mer död ved i våra sydsvenska lövträdsbestånd, i synnerhet i bokskogarna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gråtrut (VU, §4), gulsparv (NT, §4), havsörn (NT, §4), kråka (NT, §4), tvåblad (S, §8), dvärgpipistrell (§4a), järnsparv (§4),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