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63942-2020 i Helsingborgs kommun</w:t>
      </w:r>
    </w:p>
    <w:p>
      <w:r>
        <w:t>Detta dokument behandlar höga naturvärden i avverkningsanmälan A 63942-2020 i Helsingborgs kommun. Denna avverkningsanmälan inkom 2020-12-02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grönfink (EN, §4), stare (VU, §4), bokvaxskivling (NT), elegant sköldlav (NT), Hypoxylon petriniae (NT), hålnunneört (NT), sydlig sotticka (NT), tusengömming (NT), bokhätta (DD), blanksvart trämyra (S), brandticka (S), hagfingersvamp (S), lömsk flugsvamp (S), rikfruktig blemlav (S), skuggsprötmossa (S), stubbspretmossa (S) och gråkråka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r>
        <w:rPr>
          <w:b/>
        </w:rPr>
        <w:t>Bokvaxskivling (NT)</w:t>
      </w:r>
      <w:r>
        <w:t xml:space="preserve"> bildar mykorrhiza med bok i bokdominerad skog. Kraftiga gallringar eller andra förändringar av miljön i bokskog är skadliga för arten. Bokskog får inte ersättas med annat trädslag och på kända växtplatser måste kraftig gallring av bok eller andra förändringar av miljön undvikas (SLU Artdatabanken, 2024).</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grönfink (EN, §4), stare (VU,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