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63942-2020 i Helsingborgs kommun</w:t>
      </w:r>
    </w:p>
    <w:p>
      <w:r>
        <w:t>Detta dokument behandlar höga naturvärden i avverkningsanmälan A 63942-2020 i Helsingborgs kommun. Denna avverkningsanmälan inkom 2020-12-02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grönfink (EN, §4), stare (VU, §4), bokvaxskivling (NT), elegant sköldlav (NT), Hypoxylon petriniae (NT), hålnunneört (NT), sydlig sotticka (NT), tusengömming (NT), bokhätta (DD), blanksvart trämyra (S), brandticka (S), hagfingersvamp (S), lömsk flugsvamp (S), rikfruktig blemlav (S), skuggsprötmossa (S), stubbspretmossa (S) och gråkråka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63942-2020 karta.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6219055, E 357753 i SWEREF 99 TM.</w:t>
      </w:r>
    </w:p>
    <w:p>
      <w:r>
        <w:rPr>
          <w:b/>
        </w:rPr>
        <w:t>Bokvaxskivling (NT)</w:t>
      </w:r>
      <w:r>
        <w:t xml:space="preserve"> bildar mykorrhiza med bok i bokdominerad skog. Kraftiga gallringar eller andra förändringar av miljön i bokskog är skadliga för arten. Bokskog får inte ersättas med annat trädslag och på kända växtplatser måste kraftig gallring av bok eller andra förändringar av miljön undvikas (SLU Artdatabanken, 2024).</w:t>
      </w:r>
    </w:p>
    <w:p>
      <w:r>
        <w:rPr>
          <w:b/>
        </w:rPr>
        <w:t>Hålnunneört (NT)</w:t>
      </w:r>
      <w:r>
        <w:t xml:space="preserve"> växer i halvskuggig, frisk, kalkhaltig och näringsrik mark i ädellövskogar men också lokalt i parker. I Skåne, där den huvudsakligen är knuten till landskapets rikaste ädellövskogar på frisk eller något fuktig mark, har undersökningar visat att arten kan ha tappat uppemot 75 % av sina lokaler under det senaste halvseklet. Arten har svårt att sprida sig till nya lokaler, varför det är viktigt att ädellövskogar med nunneört sköts på sätt som passar/gynnar arten för att den ska överleva. Alltför kraftig utglesning av träd på växtplatsen ger ökad instrålning, som ofta leder till att nunneörten försvinner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grönfink (EN, §4), stare (VU, §4) och gråkråka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