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13467-2023 i Helsingborgs kommun</w:t>
      </w:r>
    </w:p>
    <w:p>
      <w:r>
        <w:t>Detta dokument behandlar höga naturvärden i avverkningsanmälan A 13467-2023 i Helsingborgs kommun. Denna avverkningsanmälan inkom 2023-03-20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gulsparv (NT, §4), Hypoxylon petriniae (NT), kråka (NT, §4), grå skärelav (S) och gulnål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13467-2023 karta.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6227403, E 362270 i SWEREF 99 TM.</w:t>
      </w:r>
    </w:p>
    <w:p>
      <w:r>
        <w:rPr>
          <w:b/>
        </w:rPr>
        <w:t>Grå skärelav</w:t>
      </w:r>
      <w:r>
        <w:t xml:space="preserve"> växer på barken av mycket gamla och grova jätteekar i halvöppet eller öppet läge. Sverige har ett stort internationellt ansvar att bevara dessa grova ekjättar och det är viktigt att hålla öppet kring deras konkurrenskänsliga kronor. Arten följs ofta av ett stort antal rödlistade lavar varför särskilt rika lokaler med grå skärelav bör skyddas (SLU Artdatabanken, 2024; Nitare &amp; Skogsstyrelsen, 2019).</w:t>
      </w:r>
    </w:p>
    <w:p>
      <w:pPr>
        <w:pStyle w:val="Heading1"/>
      </w:pPr>
      <w:r>
        <w:t>Fridlysta arter</w:t>
      </w:r>
    </w:p>
    <w:p>
      <w:r>
        <w:t>Följande fridlysta arter har sina livsmiljöer och växtplatser i den avverkningsanmälda skogen: gulsparv (NT, §4) och 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