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146-2024 i Eslövs kommun</w:t>
      </w:r>
    </w:p>
    <w:p>
      <w:r>
        <w:t>Denna tillsynsbegäran behandlar höga naturvärden i samrådsanmälan S 146-2024 i Eslövs kommun som inkom 2024-01-16 och omfattar 126,5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S 146-2024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6198865, E 396653 i SWEREF 99 TM.</w:t>
      </w:r>
    </w:p>
    <w:p>
      <w:r>
        <w:t>I och inom 14 meter från samrådsanmälan finns fynd av 8 naturvårdsarter, varav 5 är rödlistade, 5 är fridlysta och 2 är typiska (T): förgyllt metallfly (RE), grönfink (VU, §4), revig blodrot (VU), gulsparv (NT, §4), skogsveronika (NT, T),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Skogsveronika (NT) </w:t>
      </w:r>
      <w:r>
        <w:t xml:space="preserve">visar på genuina, rika ädellövskogar som under långa perioder varit trädbevuxna och länge bibehållit hög mark- och luftfuktighet. Samtliga förekomster indikerar exklusiva miljöer med höga naturvärden. Skogsveronika är typisk art för </w:t>
      </w:r>
      <w:r>
        <w:rPr>
          <w:i/>
        </w:rPr>
        <w:t>9130 Näringsrik bokskog</w:t>
      </w:r>
      <w:r>
        <w:t xml:space="preserve">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