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5728-2022 i Eslövs kommun</w:t>
      </w:r>
    </w:p>
    <w:p>
      <w:r>
        <w:t>Denna tillsynsbegäran behandlar höga naturvärden i samrådsanmälan S 5728-2022 i Eslövs kommun som inkom 2022-10-12 och omfattar 70,4 ha.</w:t>
      </w:r>
    </w:p>
    <w:p>
      <w:pPr>
        <w:pStyle w:val="Caption"/>
      </w:pPr>
      <w:r>
        <w:drawing>
          <wp:inline xmlns:a="http://schemas.openxmlformats.org/drawingml/2006/main" xmlns:pic="http://schemas.openxmlformats.org/drawingml/2006/picture">
            <wp:extent cx="5486400" cy="4369300"/>
            <wp:docPr id="1" name="Picture 1"/>
            <wp:cNvGraphicFramePr>
              <a:graphicFrameLocks noChangeAspect="1"/>
            </wp:cNvGraphicFramePr>
            <a:graphic>
              <a:graphicData uri="http://schemas.openxmlformats.org/drawingml/2006/picture">
                <pic:pic>
                  <pic:nvPicPr>
                    <pic:cNvPr id="0" name="S 5728-2022 karta.png"/>
                    <pic:cNvPicPr/>
                  </pic:nvPicPr>
                  <pic:blipFill>
                    <a:blip r:embed="rId16"/>
                    <a:stretch>
                      <a:fillRect/>
                    </a:stretch>
                  </pic:blipFill>
                  <pic:spPr>
                    <a:xfrm>
                      <a:off x="0" y="0"/>
                      <a:ext cx="5486400" cy="43693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6189231, E 396784 i SWEREF 99 TM.</w:t>
      </w:r>
    </w:p>
    <w:p>
      <w:r>
        <w:t>I samrådsanmälan finns fynd av 5 naturvårdsarter, varav 4 är rödlistade, 2 är fridlysta, 1 är typisk (T) och 1 är signalart (S): skogsalm (EN), brunfläckig pärlemorfjäril (VU), igelkott (VU), björktrast (NT, §4)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